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val="0"/>
        <w:snapToGrid w:val="0"/>
        <w:spacing w:line="560" w:lineRule="exact"/>
        <w:ind w:right="0" w:rightChars="0"/>
        <w:jc w:val="center"/>
        <w:textAlignment w:val="auto"/>
        <w:outlineLvl w:val="9"/>
        <w:rPr>
          <w:rFonts w:hint="eastAsia" w:ascii="方正小标宋简体" w:hAnsi="方正小标宋简体" w:eastAsia="方正小标宋简体" w:cs="方正小标宋简体"/>
          <w:color w:val="000000"/>
          <w:kern w:val="0"/>
          <w:sz w:val="44"/>
          <w:szCs w:val="44"/>
          <w:lang w:eastAsia="zh-CN"/>
        </w:rPr>
      </w:pPr>
    </w:p>
    <w:p>
      <w:pPr>
        <w:keepNext w:val="0"/>
        <w:keepLines w:val="0"/>
        <w:pageBreakBefore w:val="0"/>
        <w:kinsoku/>
        <w:wordWrap/>
        <w:overflowPunct/>
        <w:topLinePunct w:val="0"/>
        <w:autoSpaceDE/>
        <w:autoSpaceDN/>
        <w:bidi w:val="0"/>
        <w:adjustRightInd w:val="0"/>
        <w:snapToGrid w:val="0"/>
        <w:spacing w:line="560" w:lineRule="exact"/>
        <w:ind w:right="0" w:rightChars="0"/>
        <w:jc w:val="center"/>
        <w:textAlignment w:val="auto"/>
        <w:outlineLvl w:val="9"/>
        <w:rPr>
          <w:rFonts w:hint="eastAsia" w:ascii="方正小标宋简体" w:hAnsi="方正小标宋简体" w:eastAsia="方正小标宋简体" w:cs="方正小标宋简体"/>
          <w:color w:val="000000"/>
          <w:kern w:val="0"/>
          <w:sz w:val="44"/>
          <w:szCs w:val="44"/>
          <w:lang w:val="en-US" w:eastAsia="zh-CN"/>
        </w:rPr>
      </w:pPr>
      <w:r>
        <w:rPr>
          <w:rFonts w:hint="eastAsia" w:ascii="方正小标宋简体" w:hAnsi="方正小标宋简体" w:eastAsia="方正小标宋简体" w:cs="方正小标宋简体"/>
          <w:color w:val="000000"/>
          <w:kern w:val="0"/>
          <w:sz w:val="44"/>
          <w:szCs w:val="44"/>
          <w:lang w:eastAsia="zh-CN"/>
        </w:rPr>
        <w:t>仙桃市</w:t>
      </w:r>
      <w:r>
        <w:rPr>
          <w:rFonts w:hint="eastAsia" w:ascii="方正小标宋简体" w:hAnsi="方正小标宋简体" w:eastAsia="方正小标宋简体" w:cs="方正小标宋简体"/>
          <w:color w:val="000000"/>
          <w:kern w:val="0"/>
          <w:sz w:val="44"/>
          <w:szCs w:val="44"/>
          <w:lang w:val="en-US" w:eastAsia="zh-CN"/>
        </w:rPr>
        <w:t>红十字</w:t>
      </w:r>
      <w:r>
        <w:rPr>
          <w:rFonts w:hint="eastAsia" w:ascii="方正小标宋简体" w:hAnsi="方正小标宋简体" w:eastAsia="方正小标宋简体" w:cs="方正小标宋简体"/>
          <w:color w:val="000000"/>
          <w:kern w:val="0"/>
          <w:sz w:val="44"/>
          <w:szCs w:val="44"/>
          <w:lang w:eastAsia="zh-CN"/>
        </w:rPr>
        <w:t>会</w:t>
      </w:r>
      <w:r>
        <w:rPr>
          <w:rFonts w:hint="eastAsia" w:ascii="方正小标宋简体" w:hAnsi="方正小标宋简体" w:eastAsia="方正小标宋简体" w:cs="方正小标宋简体"/>
          <w:color w:val="000000"/>
          <w:kern w:val="0"/>
          <w:sz w:val="44"/>
          <w:szCs w:val="44"/>
          <w:lang w:val="en-US" w:eastAsia="zh-CN"/>
        </w:rPr>
        <w:t>2025年</w:t>
      </w:r>
      <w:r>
        <w:rPr>
          <w:rFonts w:hint="eastAsia" w:ascii="方正小标宋简体" w:hAnsi="方正小标宋简体" w:eastAsia="方正小标宋简体" w:cs="方正小标宋简体"/>
          <w:color w:val="000000"/>
          <w:kern w:val="0"/>
          <w:sz w:val="44"/>
          <w:szCs w:val="44"/>
        </w:rPr>
        <w:t>度部门决算</w:t>
      </w:r>
      <w:r>
        <w:rPr>
          <w:rFonts w:hint="eastAsia" w:ascii="方正小标宋简体" w:hAnsi="方正小标宋简体" w:eastAsia="方正小标宋简体" w:cs="方正小标宋简体"/>
          <w:color w:val="000000"/>
          <w:kern w:val="0"/>
          <w:sz w:val="44"/>
          <w:szCs w:val="44"/>
          <w:lang w:val="en-US" w:eastAsia="zh-CN"/>
        </w:rPr>
        <w:t>公开</w:t>
      </w: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jc w:val="both"/>
        <w:textAlignment w:val="auto"/>
        <w:outlineLvl w:val="9"/>
        <w:rPr>
          <w:rFonts w:hint="eastAsia" w:ascii="方正小标宋简体" w:hAnsi="方正小标宋简体" w:eastAsia="方正小标宋简体" w:cs="方正小标宋简体"/>
          <w:bCs/>
          <w:sz w:val="44"/>
          <w:szCs w:val="44"/>
          <w:highlight w:val="none"/>
          <w:rtl w:val="0"/>
          <w:lang w:val="en-US"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jc w:val="center"/>
        <w:textAlignment w:val="auto"/>
        <w:outlineLvl w:val="9"/>
        <w:rPr>
          <w:rFonts w:hint="eastAsia" w:ascii="方正小标宋简体" w:hAnsi="方正小标宋简体" w:eastAsia="方正小标宋简体" w:cs="方正小标宋简体"/>
          <w:bCs/>
          <w:sz w:val="44"/>
          <w:szCs w:val="44"/>
          <w:highlight w:val="none"/>
          <w:rtl w:val="0"/>
          <w:lang w:val="en-US" w:eastAsia="zh-CN"/>
        </w:rPr>
      </w:pPr>
      <w:r>
        <w:rPr>
          <w:rFonts w:hint="eastAsia" w:ascii="方正小标宋简体" w:hAnsi="方正小标宋简体" w:eastAsia="方正小标宋简体" w:cs="方正小标宋简体"/>
          <w:bCs/>
          <w:sz w:val="44"/>
          <w:szCs w:val="44"/>
          <w:highlight w:val="none"/>
          <w:rtl w:val="0"/>
          <w:lang w:val="en-US" w:eastAsia="zh-CN"/>
        </w:rPr>
        <w:t>目    录</w:t>
      </w: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firstLine="640" w:firstLineChars="200"/>
        <w:jc w:val="both"/>
        <w:textAlignment w:val="auto"/>
        <w:outlineLvl w:val="9"/>
        <w:rPr>
          <w:rFonts w:hint="eastAsia" w:ascii="黑体" w:hAnsi="黑体" w:eastAsia="黑体" w:cs="黑体"/>
          <w:bCs/>
          <w:sz w:val="32"/>
          <w:szCs w:val="32"/>
          <w:highlight w:val="none"/>
          <w:rtl w:val="0"/>
          <w:lang w:eastAsia="zh-CN"/>
        </w:rPr>
      </w:pPr>
      <w:r>
        <w:rPr>
          <w:rFonts w:hint="eastAsia" w:ascii="黑体" w:hAnsi="黑体" w:eastAsia="黑体" w:cs="黑体"/>
          <w:bCs/>
          <w:sz w:val="32"/>
          <w:szCs w:val="32"/>
          <w:highlight w:val="none"/>
          <w:rtl w:val="0"/>
          <w:lang w:eastAsia="zh-CN"/>
        </w:rPr>
        <w:t>第一部分</w:t>
      </w:r>
      <w:r>
        <w:rPr>
          <w:rFonts w:hint="eastAsia" w:ascii="黑体" w:hAnsi="黑体" w:eastAsia="黑体" w:cs="黑体"/>
          <w:bCs/>
          <w:sz w:val="32"/>
          <w:szCs w:val="32"/>
          <w:highlight w:val="none"/>
          <w:rtl w:val="0"/>
          <w:lang w:val="en-US" w:eastAsia="en-US"/>
        </w:rPr>
        <w:t xml:space="preserve"> </w:t>
      </w:r>
      <w:r>
        <w:rPr>
          <w:rFonts w:hint="eastAsia" w:ascii="黑体" w:hAnsi="黑体" w:eastAsia="黑体" w:cs="黑体"/>
          <w:bCs/>
          <w:sz w:val="32"/>
          <w:szCs w:val="32"/>
          <w:highlight w:val="none"/>
          <w:rtl w:val="0"/>
          <w:lang w:val="en-US" w:eastAsia="zh-CN"/>
        </w:rPr>
        <w:t>部门名称</w:t>
      </w:r>
      <w:r>
        <w:rPr>
          <w:rFonts w:hint="eastAsia" w:ascii="黑体" w:hAnsi="黑体" w:eastAsia="黑体" w:cs="黑体"/>
          <w:bCs/>
          <w:sz w:val="32"/>
          <w:szCs w:val="32"/>
          <w:highlight w:val="none"/>
          <w:rtl w:val="0"/>
          <w:lang w:eastAsia="zh-CN"/>
        </w:rPr>
        <w:t>概况</w:t>
      </w: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firstLine="640" w:firstLineChars="200"/>
        <w:jc w:val="both"/>
        <w:textAlignment w:val="auto"/>
        <w:outlineLvl w:val="9"/>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rtl w:val="0"/>
        </w:rPr>
        <w:t>一、部门主要</w:t>
      </w:r>
      <w:r>
        <w:rPr>
          <w:rFonts w:hint="eastAsia" w:ascii="仿宋_GB2312" w:hAnsi="仿宋_GB2312" w:eastAsia="仿宋_GB2312" w:cs="仿宋_GB2312"/>
          <w:bCs/>
          <w:sz w:val="32"/>
          <w:szCs w:val="32"/>
          <w:highlight w:val="none"/>
          <w:rtl w:val="0"/>
          <w:lang w:eastAsia="zh-CN"/>
        </w:rPr>
        <w:t>职责</w:t>
      </w: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firstLine="640" w:firstLineChars="200"/>
        <w:jc w:val="both"/>
        <w:textAlignment w:val="auto"/>
        <w:outlineLvl w:val="9"/>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rtl w:val="0"/>
        </w:rPr>
        <w:t>二、</w:t>
      </w:r>
      <w:r>
        <w:rPr>
          <w:rFonts w:hint="eastAsia" w:ascii="仿宋_GB2312" w:hAnsi="仿宋_GB2312" w:eastAsia="仿宋_GB2312" w:cs="仿宋_GB2312"/>
          <w:bCs/>
          <w:sz w:val="32"/>
          <w:szCs w:val="32"/>
          <w:highlight w:val="none"/>
          <w:rtl w:val="0"/>
          <w:lang w:eastAsia="zh-CN"/>
        </w:rPr>
        <w:t>机构设置情况</w:t>
      </w: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firstLine="640" w:firstLineChars="200"/>
        <w:jc w:val="both"/>
        <w:textAlignment w:val="auto"/>
        <w:outlineLvl w:val="9"/>
        <w:rPr>
          <w:rFonts w:hint="eastAsia" w:ascii="黑体" w:hAnsi="黑体" w:eastAsia="黑体" w:cs="黑体"/>
          <w:bCs/>
          <w:sz w:val="32"/>
          <w:szCs w:val="32"/>
          <w:highlight w:val="none"/>
          <w:rtl w:val="0"/>
          <w:lang w:eastAsia="zh-CN"/>
        </w:rPr>
      </w:pPr>
      <w:r>
        <w:rPr>
          <w:rFonts w:hint="eastAsia" w:ascii="黑体" w:hAnsi="黑体" w:eastAsia="黑体" w:cs="黑体"/>
          <w:bCs/>
          <w:sz w:val="32"/>
          <w:szCs w:val="32"/>
          <w:highlight w:val="none"/>
          <w:rtl w:val="0"/>
          <w:lang w:eastAsia="zh-CN"/>
        </w:rPr>
        <w:t>第二部分</w:t>
      </w:r>
      <w:r>
        <w:rPr>
          <w:rFonts w:hint="eastAsia" w:ascii="黑体" w:hAnsi="黑体" w:eastAsia="黑体" w:cs="黑体"/>
          <w:bCs/>
          <w:sz w:val="32"/>
          <w:szCs w:val="32"/>
          <w:highlight w:val="none"/>
          <w:rtl w:val="0"/>
          <w:lang w:val="en-US" w:eastAsia="en-US"/>
        </w:rPr>
        <w:t xml:space="preserve"> </w:t>
      </w:r>
      <w:r>
        <w:rPr>
          <w:rFonts w:hint="eastAsia" w:ascii="黑体" w:hAnsi="黑体" w:eastAsia="黑体" w:cs="黑体"/>
          <w:bCs/>
          <w:sz w:val="32"/>
          <w:szCs w:val="32"/>
          <w:highlight w:val="none"/>
          <w:rtl w:val="0"/>
          <w:lang w:val="en-US" w:eastAsia="zh-CN"/>
        </w:rPr>
        <w:t>部门名称2025</w:t>
      </w:r>
      <w:r>
        <w:rPr>
          <w:rFonts w:hint="eastAsia" w:ascii="黑体" w:hAnsi="黑体" w:eastAsia="黑体" w:cs="黑体"/>
          <w:bCs/>
          <w:sz w:val="32"/>
          <w:szCs w:val="32"/>
          <w:highlight w:val="none"/>
          <w:rtl w:val="0"/>
          <w:lang w:eastAsia="zh-CN"/>
        </w:rPr>
        <w:t>年度部门决算表</w:t>
      </w: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firstLine="640" w:firstLineChars="200"/>
        <w:jc w:val="both"/>
        <w:textAlignment w:val="auto"/>
        <w:outlineLvl w:val="9"/>
        <w:rPr>
          <w:rFonts w:hint="eastAsia" w:ascii="仿宋_GB2312" w:hAnsi="仿宋_GB2312" w:eastAsia="仿宋_GB2312" w:cs="仿宋_GB2312"/>
          <w:bCs/>
          <w:sz w:val="32"/>
          <w:szCs w:val="32"/>
          <w:highlight w:val="none"/>
          <w:rtl w:val="0"/>
          <w:lang w:val="en-US" w:eastAsia="zh-CN"/>
        </w:rPr>
      </w:pPr>
      <w:r>
        <w:rPr>
          <w:rFonts w:hint="eastAsia" w:ascii="仿宋_GB2312" w:hAnsi="仿宋_GB2312" w:eastAsia="仿宋_GB2312" w:cs="仿宋_GB2312"/>
          <w:bCs/>
          <w:sz w:val="32"/>
          <w:szCs w:val="32"/>
          <w:highlight w:val="none"/>
          <w:rtl w:val="0"/>
          <w:lang w:val="en-US" w:eastAsia="zh-CN"/>
        </w:rPr>
        <w:t>一、收入支出决算总表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二、收入决算表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三、支出决算表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四、财政拨款收入支出决算总表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五、一般公共预算财政拨款支出决算表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六、一般公共预算财政拨款基本支出决算明细表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七、政府性基金预算财政拨款收入支出决算表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八、国有资本经营预算财政拨款支出决算表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九、财政拨款“三公”经费支出决算表</w:t>
      </w: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firstLine="640" w:firstLineChars="200"/>
        <w:jc w:val="both"/>
        <w:textAlignment w:val="auto"/>
        <w:outlineLvl w:val="9"/>
        <w:rPr>
          <w:rFonts w:hint="eastAsia" w:ascii="仿宋_GB2312" w:hAnsi="宋体" w:eastAsia="宋体" w:cs="Times New Roman"/>
          <w:bCs/>
          <w:sz w:val="32"/>
          <w:szCs w:val="32"/>
          <w:highlight w:val="none"/>
          <w:rtl w:val="0"/>
          <w:lang w:val="en-US" w:eastAsia="zh-CN"/>
        </w:rPr>
      </w:pPr>
      <w:r>
        <w:rPr>
          <w:rFonts w:hint="eastAsia" w:ascii="黑体" w:hAnsi="黑体" w:eastAsia="黑体" w:cs="黑体"/>
          <w:bCs/>
          <w:sz w:val="32"/>
          <w:szCs w:val="32"/>
          <w:highlight w:val="none"/>
          <w:rtl w:val="0"/>
          <w:lang w:val="en-US" w:eastAsia="zh-CN"/>
        </w:rPr>
        <w:t>第三部分</w:t>
      </w:r>
      <w:r>
        <w:rPr>
          <w:rFonts w:hint="eastAsia" w:ascii="黑体" w:hAnsi="黑体" w:eastAsia="黑体" w:cs="黑体"/>
          <w:bCs/>
          <w:sz w:val="32"/>
          <w:szCs w:val="32"/>
          <w:highlight w:val="none"/>
          <w:rtl w:val="0"/>
          <w:lang w:val="en-US" w:eastAsia="en-US"/>
        </w:rPr>
        <w:t xml:space="preserve"> </w:t>
      </w:r>
      <w:r>
        <w:rPr>
          <w:rFonts w:hint="eastAsia" w:ascii="黑体" w:hAnsi="黑体" w:eastAsia="黑体" w:cs="黑体"/>
          <w:bCs/>
          <w:sz w:val="32"/>
          <w:szCs w:val="32"/>
          <w:highlight w:val="none"/>
          <w:rtl w:val="0"/>
          <w:lang w:val="en-US" w:eastAsia="zh-CN"/>
        </w:rPr>
        <w:t>部门名称2025年度部门决算情况说明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一、收入支出决算总体情况说明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二、收入决算情况说明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三、支出决算情况说明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四、财政拨款收入支出决算总体情况说明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五、一般公共预算财政拨款支出决算情况说明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六、一般公共预算财政拨款基本支出决算情况说明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七、政府性基金预算财政拨款收入支出决算情况说明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八、国有资本经营预算财政拨款支出决算情况说明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九、财政拨款“三公”经费支出决算情况说明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十、机关运行经费支出说明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十一、政府采购支出说明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十二、国有资产占用情况说明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十三、预算绩效情况说明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十四、专项支出、转移支付支出情况说明</w:t>
      </w: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firstLine="640" w:firstLineChars="200"/>
        <w:jc w:val="both"/>
        <w:textAlignment w:val="auto"/>
        <w:outlineLvl w:val="9"/>
        <w:rPr>
          <w:rFonts w:hint="eastAsia" w:ascii="黑体" w:hAnsi="黑体" w:eastAsia="黑体" w:cs="黑体"/>
          <w:bCs/>
          <w:sz w:val="32"/>
          <w:szCs w:val="32"/>
          <w:highlight w:val="none"/>
          <w:rtl w:val="0"/>
          <w:lang w:val="en-US" w:eastAsia="zh-CN"/>
        </w:rPr>
      </w:pPr>
      <w:r>
        <w:rPr>
          <w:rFonts w:hint="eastAsia" w:ascii="黑体" w:hAnsi="黑体" w:eastAsia="黑体" w:cs="黑体"/>
          <w:bCs/>
          <w:sz w:val="32"/>
          <w:szCs w:val="32"/>
          <w:highlight w:val="none"/>
          <w:rtl w:val="0"/>
          <w:lang w:val="en-US" w:eastAsia="zh-CN"/>
        </w:rPr>
        <w:t>第四部分  其他需要说明的情况</w:t>
      </w:r>
    </w:p>
    <w:p>
      <w:pPr>
        <w:keepNext w:val="0"/>
        <w:keepLines w:val="0"/>
        <w:pageBreakBefore w:val="0"/>
        <w:widowControl w:val="0"/>
        <w:kinsoku/>
        <w:wordWrap/>
        <w:overflowPunct/>
        <w:topLinePunct w:val="0"/>
        <w:autoSpaceDE/>
        <w:autoSpaceDN/>
        <w:bidi w:val="0"/>
        <w:adjustRightInd w:val="0"/>
        <w:snapToGrid w:val="0"/>
        <w:spacing w:line="560" w:lineRule="exact"/>
        <w:ind w:right="-512" w:rightChars="-244" w:firstLine="640" w:firstLineChars="200"/>
        <w:jc w:val="both"/>
        <w:textAlignment w:val="auto"/>
        <w:outlineLvl w:val="9"/>
        <w:rPr>
          <w:rFonts w:hint="eastAsia" w:ascii="黑体" w:hAnsi="黑体" w:eastAsia="黑体" w:cs="黑体"/>
          <w:bCs/>
          <w:sz w:val="32"/>
          <w:szCs w:val="32"/>
          <w:highlight w:val="none"/>
          <w:rtl w:val="0"/>
          <w:lang w:val="en-US" w:eastAsia="zh-CN"/>
        </w:rPr>
      </w:pPr>
      <w:r>
        <w:rPr>
          <w:rFonts w:hint="eastAsia" w:ascii="黑体" w:hAnsi="黑体" w:eastAsia="黑体" w:cs="黑体"/>
          <w:bCs/>
          <w:sz w:val="32"/>
          <w:szCs w:val="32"/>
          <w:highlight w:val="none"/>
          <w:rtl w:val="0"/>
          <w:lang w:val="en-US" w:eastAsia="zh-CN"/>
        </w:rPr>
        <w:t>第五部分  名词解释</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jc w:val="both"/>
        <w:textAlignment w:val="auto"/>
        <w:outlineLvl w:val="9"/>
        <w:rPr>
          <w:rStyle w:val="6"/>
          <w:rFonts w:hint="eastAsia" w:ascii="黑体" w:hAnsi="黑体" w:eastAsia="黑体" w:cs="黑体"/>
          <w:sz w:val="32"/>
          <w:szCs w:val="32"/>
          <w:rtl w:val="0"/>
          <w:lang w:eastAsia="zh-CN"/>
        </w:rPr>
      </w:pPr>
      <w:r>
        <w:rPr>
          <w:rStyle w:val="6"/>
          <w:rFonts w:ascii="黑体" w:hAnsi="黑体" w:eastAsia="黑体" w:cs="黑体"/>
          <w:sz w:val="32"/>
          <w:szCs w:val="32"/>
          <w:rtl w:val="0"/>
        </w:rPr>
        <w:t>第</w:t>
      </w:r>
      <w:r>
        <w:rPr>
          <w:rStyle w:val="6"/>
          <w:rFonts w:hint="eastAsia" w:ascii="黑体" w:hAnsi="黑体" w:eastAsia="黑体" w:cs="黑体"/>
          <w:sz w:val="32"/>
          <w:szCs w:val="32"/>
          <w:rtl w:val="0"/>
          <w:lang w:eastAsia="zh-CN"/>
        </w:rPr>
        <w:t>六</w:t>
      </w:r>
      <w:r>
        <w:rPr>
          <w:rStyle w:val="6"/>
          <w:rFonts w:ascii="黑体" w:hAnsi="黑体" w:eastAsia="黑体" w:cs="黑体"/>
          <w:sz w:val="32"/>
          <w:szCs w:val="32"/>
          <w:rtl w:val="0"/>
        </w:rPr>
        <w:t>部分</w:t>
      </w:r>
      <w:r>
        <w:rPr>
          <w:rStyle w:val="6"/>
          <w:rFonts w:hint="eastAsia" w:ascii="黑体" w:hAnsi="黑体" w:eastAsia="黑体" w:cs="黑体"/>
          <w:sz w:val="32"/>
          <w:szCs w:val="32"/>
          <w:rtl w:val="0"/>
          <w:lang w:val="en-US" w:eastAsia="zh-CN"/>
        </w:rPr>
        <w:t xml:space="preserve">  附件</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黑体" w:hAnsi="黑体" w:eastAsia="黑体" w:cs="黑体"/>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bidi="ar-SA"/>
        </w:rPr>
        <w:t>仙桃市红十字会2025年部门决算于2026年9月2日经市财政局批准，根据《预算法》和决算公开工作的要求，现将我单位2025年部门决算公开如下：</w:t>
      </w:r>
    </w:p>
    <w:p>
      <w:pPr>
        <w:keepNext w:val="0"/>
        <w:keepLines w:val="0"/>
        <w:pageBreakBefore w:val="0"/>
        <w:kinsoku/>
        <w:wordWrap/>
        <w:overflowPunct/>
        <w:topLinePunct w:val="0"/>
        <w:autoSpaceDE/>
        <w:autoSpaceDN/>
        <w:bidi w:val="0"/>
        <w:adjustRightInd w:val="0"/>
        <w:snapToGrid w:val="0"/>
        <w:spacing w:line="560" w:lineRule="exact"/>
        <w:ind w:right="0" w:rightChars="0"/>
        <w:jc w:val="center"/>
        <w:textAlignment w:val="auto"/>
        <w:outlineLvl w:val="9"/>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第一部分  部门概况</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color w:val="000000"/>
          <w:kern w:val="0"/>
          <w:sz w:val="32"/>
          <w:szCs w:val="32"/>
        </w:rPr>
        <w:t>一、</w:t>
      </w:r>
      <w:r>
        <w:rPr>
          <w:rFonts w:hint="eastAsia" w:ascii="黑体" w:hAnsi="黑体" w:eastAsia="黑体" w:cs="黑体"/>
          <w:color w:val="000000"/>
          <w:kern w:val="0"/>
          <w:sz w:val="32"/>
          <w:szCs w:val="32"/>
          <w:lang w:val="en-US" w:eastAsia="zh-CN"/>
        </w:rPr>
        <w:t>部门</w:t>
      </w:r>
      <w:r>
        <w:rPr>
          <w:rFonts w:hint="eastAsia" w:ascii="黑体" w:hAnsi="黑体" w:eastAsia="黑体" w:cs="黑体"/>
          <w:color w:val="000000"/>
          <w:kern w:val="0"/>
          <w:sz w:val="32"/>
          <w:szCs w:val="32"/>
        </w:rPr>
        <w:t>职</w:t>
      </w:r>
      <w:r>
        <w:rPr>
          <w:rFonts w:hint="eastAsia" w:ascii="黑体" w:hAnsi="黑体" w:eastAsia="黑体" w:cs="黑体"/>
          <w:color w:val="000000"/>
          <w:kern w:val="0"/>
          <w:sz w:val="32"/>
          <w:szCs w:val="32"/>
          <w:lang w:val="en-US" w:eastAsia="zh-CN"/>
        </w:rPr>
        <w:t>责</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深入学习贯彻习近平新时代中国特色社会主义思想，贯彻落实习近平总书记关于群团工作重要论述和红十字事业重要指示精神，党中央决策部署和省委工作安排情况;学习宣传贯彻落实党的二十大精神和省第十二次党代会精神情况。</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2、开展救护员培训、应急救护知识普及，不断提升人民群众自救互救和防灾避险能力。</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3、积极参与无偿献血宣传动员工作，组织开展造血干细胞捐献，参与人体器官捐献的宣传、报名登记、见证、缅怀纪念和对捐献者或其近亲属的人道救助等工作。</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4、立足现有的人道救助项目，积极开展人道救助项目宣传活动。</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5、开展红十字志愿服务与红十字青少年活动，引导社会公众参与红十字人道事业。</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6、依法开展公益募捐活动。</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color w:val="000000"/>
          <w:kern w:val="0"/>
          <w:sz w:val="32"/>
          <w:szCs w:val="32"/>
          <w:lang w:val="en-US" w:eastAsia="zh-CN" w:bidi="ar-SA"/>
        </w:rPr>
      </w:pPr>
      <w:r>
        <w:rPr>
          <w:rFonts w:hint="eastAsia" w:ascii="黑体" w:hAnsi="黑体" w:eastAsia="黑体" w:cs="黑体"/>
          <w:color w:val="000000"/>
          <w:kern w:val="0"/>
          <w:sz w:val="32"/>
          <w:szCs w:val="32"/>
        </w:rPr>
        <w:t>二、</w:t>
      </w:r>
      <w:r>
        <w:rPr>
          <w:rFonts w:hint="eastAsia" w:ascii="黑体" w:hAnsi="黑体" w:eastAsia="黑体" w:cs="黑体"/>
          <w:color w:val="000000"/>
          <w:kern w:val="0"/>
          <w:sz w:val="32"/>
          <w:szCs w:val="32"/>
          <w:lang w:val="en-US" w:eastAsia="zh-CN"/>
        </w:rPr>
        <w:t>机构设置</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kern w:val="0"/>
          <w:sz w:val="32"/>
          <w:szCs w:val="32"/>
          <w:lang w:val="en-US" w:eastAsia="zh-CN"/>
        </w:rPr>
        <w:t>仙桃市红十字会</w:t>
      </w:r>
      <w:r>
        <w:rPr>
          <w:rFonts w:hint="eastAsia" w:ascii="仿宋_GB2312" w:hAnsi="仿宋_GB2312" w:eastAsia="仿宋_GB2312" w:cs="仿宋_GB2312"/>
          <w:kern w:val="0"/>
          <w:sz w:val="32"/>
          <w:szCs w:val="32"/>
        </w:rPr>
        <w:t>机关内设有</w:t>
      </w:r>
      <w:r>
        <w:rPr>
          <w:rFonts w:hint="eastAsia" w:ascii="仿宋_GB2312" w:hAnsi="仿宋_GB2312" w:eastAsia="仿宋_GB2312" w:cs="仿宋_GB2312"/>
          <w:sz w:val="32"/>
          <w:szCs w:val="32"/>
          <w:lang w:val="en-US" w:eastAsia="zh-CN"/>
        </w:rPr>
        <w:t>办公室、赈济救护部2</w:t>
      </w:r>
      <w:r>
        <w:rPr>
          <w:rFonts w:hint="eastAsia" w:ascii="仿宋_GB2312" w:hAnsi="仿宋_GB2312" w:eastAsia="仿宋_GB2312" w:cs="仿宋_GB2312"/>
          <w:sz w:val="32"/>
          <w:szCs w:val="32"/>
        </w:rPr>
        <w:t>个</w:t>
      </w:r>
      <w:r>
        <w:rPr>
          <w:rFonts w:hint="eastAsia" w:ascii="仿宋_GB2312" w:hAnsi="仿宋_GB2312" w:eastAsia="仿宋_GB2312" w:cs="仿宋_GB2312"/>
          <w:sz w:val="32"/>
          <w:szCs w:val="32"/>
          <w:lang w:val="en-US" w:eastAsia="zh-CN"/>
        </w:rPr>
        <w:t>部室</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核定参公编制6名，</w:t>
      </w:r>
      <w:r>
        <w:rPr>
          <w:rFonts w:hint="eastAsia" w:ascii="仿宋_GB2312" w:hAnsi="仿宋_GB2312" w:eastAsia="仿宋_GB2312" w:cs="仿宋_GB2312"/>
          <w:sz w:val="32"/>
          <w:szCs w:val="32"/>
        </w:rPr>
        <w:t>实有人员</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val="en-US" w:eastAsia="zh-CN"/>
        </w:rPr>
        <w:t>包括常务副会长1名，副会长1名，副监事长1名</w:t>
      </w:r>
      <w:r>
        <w:rPr>
          <w:rFonts w:hint="eastAsia" w:ascii="仿宋_GB2312" w:hAnsi="仿宋_GB2312" w:eastAsia="仿宋_GB2312" w:cs="仿宋_GB2312"/>
          <w:color w:val="000000"/>
          <w:kern w:val="0"/>
          <w:sz w:val="32"/>
          <w:szCs w:val="32"/>
          <w:lang w:val="en-US" w:eastAsia="zh-CN" w:bidi="ar-SA"/>
        </w:rPr>
        <w:t>。其中：列入2025年部门决算编制范围的单位详细情况见下表：</w:t>
      </w:r>
    </w:p>
    <w:tbl>
      <w:tblPr>
        <w:tblStyle w:val="5"/>
        <w:tblpPr w:leftFromText="180" w:rightFromText="180" w:vertAnchor="text" w:horzAnchor="margin" w:tblpY="218"/>
        <w:tblOverlap w:val="never"/>
        <w:tblW w:w="0" w:type="auto"/>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20" w:type="dxa"/>
          <w:left w:w="20" w:type="dxa"/>
          <w:bottom w:w="20" w:type="dxa"/>
          <w:right w:w="20" w:type="dxa"/>
        </w:tblCellMar>
      </w:tblPr>
      <w:tblGrid>
        <w:gridCol w:w="1892"/>
        <w:gridCol w:w="3544"/>
        <w:gridCol w:w="3077"/>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20" w:type="dxa"/>
            <w:left w:w="20" w:type="dxa"/>
            <w:bottom w:w="20" w:type="dxa"/>
            <w:right w:w="20" w:type="dxa"/>
          </w:tblCellMar>
        </w:tblPrEx>
        <w:tc>
          <w:tcPr>
            <w:tcW w:w="1892" w:type="dxa"/>
            <w:noWrap w:val="0"/>
            <w:tcMar>
              <w:top w:w="0" w:type="dxa"/>
              <w:left w:w="140" w:type="dxa"/>
              <w:bottom w:w="0" w:type="dxa"/>
              <w:right w:w="140" w:type="dxa"/>
            </w:tcMar>
            <w:vAlign w:val="top"/>
          </w:tcPr>
          <w:p>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color w:val="000000"/>
                <w:kern w:val="0"/>
                <w:sz w:val="21"/>
                <w:szCs w:val="21"/>
              </w:rPr>
            </w:pPr>
            <w:r>
              <w:rPr>
                <w:rFonts w:hint="eastAsia" w:ascii="仿宋_GB2312" w:hAnsi="仿宋_GB2312" w:eastAsia="仿宋_GB2312" w:cs="仿宋_GB2312"/>
                <w:color w:val="000000"/>
                <w:kern w:val="0"/>
                <w:sz w:val="21"/>
                <w:szCs w:val="21"/>
              </w:rPr>
              <w:t>序号</w:t>
            </w:r>
          </w:p>
        </w:tc>
        <w:tc>
          <w:tcPr>
            <w:tcW w:w="3544" w:type="dxa"/>
            <w:noWrap w:val="0"/>
            <w:tcMar>
              <w:top w:w="0" w:type="dxa"/>
              <w:left w:w="140" w:type="dxa"/>
              <w:bottom w:w="0" w:type="dxa"/>
              <w:right w:w="140" w:type="dxa"/>
            </w:tcMar>
            <w:vAlign w:val="top"/>
          </w:tcPr>
          <w:p>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color w:val="333333"/>
                <w:kern w:val="0"/>
                <w:sz w:val="21"/>
                <w:szCs w:val="21"/>
              </w:rPr>
            </w:pPr>
            <w:r>
              <w:rPr>
                <w:rFonts w:hint="eastAsia" w:ascii="仿宋_GB2312" w:hAnsi="仿宋_GB2312" w:eastAsia="仿宋_GB2312" w:cs="仿宋_GB2312"/>
                <w:color w:val="000000"/>
                <w:kern w:val="0"/>
                <w:sz w:val="21"/>
                <w:szCs w:val="21"/>
              </w:rPr>
              <w:t>单位名称</w:t>
            </w:r>
          </w:p>
        </w:tc>
        <w:tc>
          <w:tcPr>
            <w:tcW w:w="3077" w:type="dxa"/>
            <w:noWrap w:val="0"/>
            <w:tcMar>
              <w:top w:w="0" w:type="dxa"/>
              <w:left w:w="140" w:type="dxa"/>
              <w:bottom w:w="0" w:type="dxa"/>
              <w:right w:w="140" w:type="dxa"/>
            </w:tcMar>
            <w:vAlign w:val="top"/>
          </w:tcPr>
          <w:p>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color w:val="333333"/>
                <w:kern w:val="0"/>
                <w:sz w:val="21"/>
                <w:szCs w:val="21"/>
              </w:rPr>
            </w:pPr>
            <w:r>
              <w:rPr>
                <w:rFonts w:hint="eastAsia" w:ascii="仿宋_GB2312" w:hAnsi="仿宋_GB2312" w:eastAsia="仿宋_GB2312" w:cs="仿宋_GB2312"/>
                <w:color w:val="000000"/>
                <w:kern w:val="0"/>
                <w:sz w:val="21"/>
                <w:szCs w:val="21"/>
              </w:rPr>
              <w:t>经费性质</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20" w:type="dxa"/>
            <w:left w:w="20" w:type="dxa"/>
            <w:bottom w:w="20" w:type="dxa"/>
            <w:right w:w="20" w:type="dxa"/>
          </w:tblCellMar>
        </w:tblPrEx>
        <w:trPr>
          <w:trHeight w:val="90" w:hRule="atLeast"/>
        </w:trPr>
        <w:tc>
          <w:tcPr>
            <w:tcW w:w="1892" w:type="dxa"/>
            <w:noWrap w:val="0"/>
            <w:tcMar>
              <w:top w:w="0" w:type="dxa"/>
              <w:left w:w="140" w:type="dxa"/>
              <w:bottom w:w="0" w:type="dxa"/>
              <w:right w:w="140" w:type="dxa"/>
            </w:tcMar>
            <w:vAlign w:val="top"/>
          </w:tcPr>
          <w:p>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color w:val="000000"/>
                <w:kern w:val="0"/>
                <w:sz w:val="21"/>
                <w:szCs w:val="21"/>
                <w:lang w:val="en-US" w:eastAsia="zh-CN"/>
              </w:rPr>
            </w:pPr>
            <w:r>
              <w:rPr>
                <w:rFonts w:hint="eastAsia" w:ascii="仿宋_GB2312" w:hAnsi="仿宋_GB2312" w:eastAsia="仿宋_GB2312" w:cs="仿宋_GB2312"/>
                <w:color w:val="000000"/>
                <w:kern w:val="0"/>
                <w:sz w:val="21"/>
                <w:szCs w:val="21"/>
                <w:lang w:val="en-US" w:eastAsia="zh-CN"/>
              </w:rPr>
              <w:t>1</w:t>
            </w:r>
          </w:p>
        </w:tc>
        <w:tc>
          <w:tcPr>
            <w:tcW w:w="3544" w:type="dxa"/>
            <w:noWrap w:val="0"/>
            <w:tcMar>
              <w:top w:w="0" w:type="dxa"/>
              <w:left w:w="140" w:type="dxa"/>
              <w:bottom w:w="0" w:type="dxa"/>
              <w:right w:w="140" w:type="dxa"/>
            </w:tcMar>
            <w:vAlign w:val="top"/>
          </w:tcPr>
          <w:p>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color w:val="000000"/>
                <w:kern w:val="0"/>
                <w:sz w:val="21"/>
                <w:szCs w:val="21"/>
                <w:lang w:val="en-US" w:eastAsia="zh-CN"/>
              </w:rPr>
            </w:pPr>
            <w:r>
              <w:rPr>
                <w:rFonts w:hint="eastAsia" w:ascii="仿宋_GB2312" w:hAnsi="仿宋_GB2312" w:eastAsia="仿宋_GB2312" w:cs="仿宋_GB2312"/>
                <w:color w:val="000000"/>
                <w:kern w:val="0"/>
                <w:sz w:val="21"/>
                <w:szCs w:val="21"/>
                <w:lang w:val="en-US" w:eastAsia="zh-CN"/>
              </w:rPr>
              <w:t>仙桃市红十字会</w:t>
            </w:r>
          </w:p>
        </w:tc>
        <w:tc>
          <w:tcPr>
            <w:tcW w:w="3077" w:type="dxa"/>
            <w:noWrap w:val="0"/>
            <w:tcMar>
              <w:top w:w="0" w:type="dxa"/>
              <w:left w:w="140" w:type="dxa"/>
              <w:bottom w:w="0" w:type="dxa"/>
              <w:right w:w="140" w:type="dxa"/>
            </w:tcMar>
            <w:vAlign w:val="top"/>
          </w:tcPr>
          <w:p>
            <w:pPr>
              <w:keepNext w:val="0"/>
              <w:keepLines w:val="0"/>
              <w:pageBreakBefore w:val="0"/>
              <w:widowControl/>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color w:val="000000"/>
                <w:kern w:val="0"/>
                <w:sz w:val="21"/>
                <w:szCs w:val="21"/>
                <w:lang w:val="en-US" w:eastAsia="zh-CN"/>
              </w:rPr>
            </w:pPr>
            <w:r>
              <w:rPr>
                <w:rFonts w:hint="eastAsia" w:ascii="仿宋_GB2312" w:hAnsi="仿宋_GB2312" w:eastAsia="仿宋_GB2312" w:cs="仿宋_GB2312"/>
                <w:color w:val="000000"/>
                <w:kern w:val="0"/>
                <w:sz w:val="21"/>
                <w:szCs w:val="21"/>
                <w:lang w:val="en-US" w:eastAsia="zh-CN"/>
              </w:rPr>
              <w:t>财政全额拨款</w:t>
            </w:r>
          </w:p>
        </w:tc>
      </w:tr>
    </w:tbl>
    <w:p/>
    <w:p>
      <w:pPr>
        <w:numPr>
          <w:ilvl w:val="0"/>
          <w:numId w:val="1"/>
        </w:numPr>
        <w:ind w:firstLine="640"/>
        <w:jc w:val="center"/>
        <w:rPr>
          <w:rFonts w:hint="eastAsia" w:ascii="黑体" w:hAnsi="黑体" w:eastAsia="黑体" w:cs="黑体"/>
          <w:sz w:val="32"/>
          <w:szCs w:val="32"/>
          <w:lang w:eastAsia="zh-CN"/>
        </w:rPr>
      </w:pPr>
      <w:r>
        <w:rPr>
          <w:rFonts w:hint="eastAsia" w:ascii="黑体" w:hAnsi="黑体" w:eastAsia="黑体" w:cs="黑体"/>
          <w:sz w:val="32"/>
          <w:szCs w:val="32"/>
          <w:lang w:val="en-US" w:eastAsia="zh-CN"/>
        </w:rPr>
        <w:t xml:space="preserve"> 2025年度</w:t>
      </w:r>
      <w:r>
        <w:rPr>
          <w:rFonts w:hint="eastAsia" w:ascii="黑体" w:hAnsi="黑体" w:eastAsia="黑体" w:cs="黑体"/>
          <w:sz w:val="32"/>
          <w:szCs w:val="32"/>
        </w:rPr>
        <w:t>部门决算</w:t>
      </w:r>
      <w:r>
        <w:rPr>
          <w:rFonts w:hint="eastAsia" w:ascii="黑体" w:hAnsi="黑体" w:eastAsia="黑体" w:cs="黑体"/>
          <w:sz w:val="32"/>
          <w:szCs w:val="32"/>
          <w:lang w:eastAsia="zh-CN"/>
        </w:rPr>
        <w:t>表</w:t>
      </w:r>
    </w:p>
    <w:p>
      <w:pPr>
        <w:numPr>
          <w:ilvl w:val="0"/>
          <w:numId w:val="0"/>
        </w:numPr>
        <w:adjustRightInd w:val="0"/>
        <w:snapToGrid w:val="0"/>
        <w:spacing w:line="580" w:lineRule="atLeast"/>
        <w:ind w:right="-512" w:rightChars="-244"/>
        <w:rPr>
          <w:rFonts w:hint="eastAsia" w:ascii="黑体" w:hAnsi="黑体" w:eastAsia="黑体" w:cs="黑体"/>
          <w:bCs/>
          <w:sz w:val="32"/>
          <w:szCs w:val="32"/>
          <w:highlight w:val="none"/>
        </w:rPr>
      </w:pPr>
    </w:p>
    <w:p>
      <w:pPr>
        <w:numPr>
          <w:ilvl w:val="0"/>
          <w:numId w:val="0"/>
        </w:numPr>
        <w:adjustRightInd w:val="0"/>
        <w:snapToGrid w:val="0"/>
        <w:spacing w:line="580" w:lineRule="atLeast"/>
        <w:ind w:right="-512" w:rightChars="-244"/>
        <w:rPr>
          <w:rFonts w:hint="eastAsia" w:ascii="黑体" w:hAnsi="黑体" w:eastAsia="黑体" w:cs="黑体"/>
          <w:bCs/>
          <w:sz w:val="32"/>
          <w:szCs w:val="32"/>
          <w:highlight w:val="none"/>
        </w:rPr>
      </w:pPr>
    </w:p>
    <w:p>
      <w:pPr>
        <w:numPr>
          <w:ilvl w:val="0"/>
          <w:numId w:val="0"/>
        </w:numPr>
        <w:adjustRightInd w:val="0"/>
        <w:snapToGrid w:val="0"/>
        <w:spacing w:line="580" w:lineRule="atLeast"/>
        <w:ind w:right="-512" w:rightChars="-244"/>
        <w:rPr>
          <w:rFonts w:hint="eastAsia" w:ascii="黑体" w:hAnsi="黑体" w:eastAsia="黑体" w:cs="黑体"/>
          <w:bCs/>
          <w:sz w:val="32"/>
          <w:szCs w:val="32"/>
          <w:highlight w:val="none"/>
        </w:rPr>
      </w:pPr>
    </w:p>
    <w:p>
      <w:pPr>
        <w:numPr>
          <w:ilvl w:val="0"/>
          <w:numId w:val="0"/>
        </w:numPr>
        <w:adjustRightInd w:val="0"/>
        <w:snapToGrid w:val="0"/>
        <w:spacing w:line="580" w:lineRule="atLeast"/>
        <w:ind w:right="-512" w:rightChars="-244"/>
        <w:rPr>
          <w:rFonts w:hint="eastAsia" w:ascii="黑体" w:hAnsi="黑体" w:eastAsia="黑体" w:cs="黑体"/>
          <w:bCs/>
          <w:sz w:val="32"/>
          <w:szCs w:val="32"/>
          <w:highlight w:val="none"/>
        </w:rPr>
      </w:pPr>
    </w:p>
    <w:p>
      <w:pPr>
        <w:numPr>
          <w:ilvl w:val="0"/>
          <w:numId w:val="0"/>
        </w:numPr>
        <w:adjustRightInd w:val="0"/>
        <w:snapToGrid w:val="0"/>
        <w:spacing w:line="580" w:lineRule="atLeast"/>
        <w:ind w:right="-512" w:rightChars="-244"/>
        <w:rPr>
          <w:rFonts w:hint="eastAsia" w:ascii="黑体" w:hAnsi="黑体" w:eastAsia="黑体" w:cs="黑体"/>
          <w:bCs/>
          <w:sz w:val="32"/>
          <w:szCs w:val="32"/>
          <w:highlight w:val="none"/>
        </w:rPr>
      </w:pPr>
    </w:p>
    <w:p>
      <w:pPr>
        <w:numPr>
          <w:ilvl w:val="0"/>
          <w:numId w:val="0"/>
        </w:numPr>
        <w:adjustRightInd w:val="0"/>
        <w:snapToGrid w:val="0"/>
        <w:spacing w:line="580" w:lineRule="atLeast"/>
        <w:ind w:right="-512" w:rightChars="-244"/>
        <w:rPr>
          <w:rFonts w:hint="eastAsia" w:ascii="黑体" w:hAnsi="黑体" w:eastAsia="黑体" w:cs="黑体"/>
          <w:bCs/>
          <w:sz w:val="32"/>
          <w:szCs w:val="32"/>
          <w:highlight w:val="none"/>
        </w:rPr>
      </w:pPr>
    </w:p>
    <w:p>
      <w:pPr>
        <w:numPr>
          <w:ilvl w:val="0"/>
          <w:numId w:val="0"/>
        </w:numPr>
        <w:adjustRightInd w:val="0"/>
        <w:snapToGrid w:val="0"/>
        <w:spacing w:line="580" w:lineRule="atLeast"/>
        <w:ind w:right="-512" w:rightChars="-244"/>
        <w:rPr>
          <w:rFonts w:hint="eastAsia" w:ascii="黑体" w:hAnsi="黑体" w:eastAsia="黑体" w:cs="黑体"/>
          <w:bCs/>
          <w:sz w:val="32"/>
          <w:szCs w:val="32"/>
          <w:highlight w:val="none"/>
        </w:rPr>
      </w:pPr>
    </w:p>
    <w:p>
      <w:pPr>
        <w:numPr>
          <w:ilvl w:val="0"/>
          <w:numId w:val="0"/>
        </w:numPr>
        <w:adjustRightInd w:val="0"/>
        <w:snapToGrid w:val="0"/>
        <w:spacing w:line="580" w:lineRule="atLeast"/>
        <w:ind w:right="-512" w:rightChars="-244" w:firstLine="640" w:firstLineChars="200"/>
        <w:rPr>
          <w:rFonts w:hint="eastAsia"/>
          <w:lang w:eastAsia="zh-CN"/>
        </w:rPr>
      </w:pPr>
      <w:r>
        <w:rPr>
          <w:rFonts w:hint="eastAsia" w:ascii="黑体" w:hAnsi="黑体" w:eastAsia="黑体" w:cs="黑体"/>
          <w:bCs/>
          <w:sz w:val="32"/>
          <w:szCs w:val="32"/>
          <w:highlight w:val="none"/>
          <w:lang w:val="en-US" w:eastAsia="zh-CN"/>
        </w:rPr>
        <w:t>一、</w:t>
      </w:r>
      <w:r>
        <w:rPr>
          <w:rFonts w:hint="eastAsia" w:ascii="黑体" w:hAnsi="黑体" w:eastAsia="黑体" w:cs="黑体"/>
          <w:bCs/>
          <w:sz w:val="32"/>
          <w:szCs w:val="32"/>
          <w:highlight w:val="none"/>
        </w:rPr>
        <w:t>收入支出决算总表</w:t>
      </w:r>
    </w:p>
    <w:p>
      <w:pPr>
        <w:keepNext w:val="0"/>
        <w:keepLines w:val="0"/>
        <w:widowControl/>
        <w:suppressLineNumbers w:val="0"/>
        <w:jc w:val="left"/>
        <w:rPr>
          <w:rFonts w:hint="eastAsia" w:eastAsia="宋体"/>
          <w:lang w:eastAsia="zh-CN"/>
        </w:rPr>
      </w:pPr>
      <w:r>
        <w:rPr>
          <w:rFonts w:hint="eastAsia" w:eastAsia="宋体"/>
          <w:lang w:eastAsia="zh-CN"/>
        </w:rPr>
        <w:drawing>
          <wp:inline distT="0" distB="0" distL="114300" distR="114300">
            <wp:extent cx="5271135" cy="4093845"/>
            <wp:effectExtent l="0" t="0" r="5715" b="1905"/>
            <wp:docPr id="10" name="图片 10" descr="17894339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789433951(1)"/>
                    <pic:cNvPicPr>
                      <a:picLocks noChangeAspect="1"/>
                    </pic:cNvPicPr>
                  </pic:nvPicPr>
                  <pic:blipFill>
                    <a:blip r:embed="rId4"/>
                    <a:stretch>
                      <a:fillRect/>
                    </a:stretch>
                  </pic:blipFill>
                  <pic:spPr>
                    <a:xfrm>
                      <a:off x="0" y="0"/>
                      <a:ext cx="5271135" cy="4093845"/>
                    </a:xfrm>
                    <a:prstGeom prst="rect">
                      <a:avLst/>
                    </a:prstGeom>
                  </pic:spPr>
                </pic:pic>
              </a:graphicData>
            </a:graphic>
          </wp:inline>
        </w:drawing>
      </w:r>
    </w:p>
    <w:p>
      <w:pPr>
        <w:adjustRightInd w:val="0"/>
        <w:snapToGrid w:val="0"/>
        <w:spacing w:line="580" w:lineRule="atLeast"/>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二、收入决算表</w:t>
      </w:r>
    </w:p>
    <w:p>
      <w:pPr>
        <w:pStyle w:val="7"/>
        <w:rPr>
          <w:rFonts w:hint="eastAsia" w:eastAsia="宋体"/>
          <w:lang w:eastAsia="zh-CN"/>
        </w:rPr>
      </w:pPr>
    </w:p>
    <w:p>
      <w:pPr>
        <w:adjustRightInd w:val="0"/>
        <w:snapToGrid w:val="0"/>
        <w:spacing w:line="580" w:lineRule="atLeast"/>
        <w:ind w:left="640" w:hanging="640" w:hangingChars="200"/>
        <w:jc w:val="both"/>
        <w:rPr>
          <w:rFonts w:hint="eastAsia" w:ascii="黑体" w:hAnsi="黑体" w:eastAsia="黑体" w:cs="黑体"/>
          <w:bCs/>
          <w:sz w:val="32"/>
          <w:szCs w:val="32"/>
          <w:highlight w:val="none"/>
        </w:rPr>
      </w:pPr>
      <w:r>
        <w:rPr>
          <w:rFonts w:hint="eastAsia" w:ascii="黑体" w:hAnsi="黑体" w:eastAsia="黑体" w:cs="黑体"/>
          <w:bCs/>
          <w:sz w:val="32"/>
          <w:szCs w:val="32"/>
          <w:highlight w:val="none"/>
        </w:rPr>
        <w:drawing>
          <wp:inline distT="0" distB="0" distL="114300" distR="114300">
            <wp:extent cx="5267325" cy="2066925"/>
            <wp:effectExtent l="0" t="0" r="9525" b="9525"/>
            <wp:docPr id="12" name="图片 12" descr="1789434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89434109(1)"/>
                    <pic:cNvPicPr>
                      <a:picLocks noChangeAspect="1"/>
                    </pic:cNvPicPr>
                  </pic:nvPicPr>
                  <pic:blipFill>
                    <a:blip r:embed="rId5"/>
                    <a:stretch>
                      <a:fillRect/>
                    </a:stretch>
                  </pic:blipFill>
                  <pic:spPr>
                    <a:xfrm>
                      <a:off x="0" y="0"/>
                      <a:ext cx="5267325" cy="2066925"/>
                    </a:xfrm>
                    <a:prstGeom prst="rect">
                      <a:avLst/>
                    </a:prstGeom>
                  </pic:spPr>
                </pic:pic>
              </a:graphicData>
            </a:graphic>
          </wp:inline>
        </w:drawing>
      </w:r>
      <w:r>
        <w:rPr>
          <w:rFonts w:hint="eastAsia" w:ascii="黑体" w:hAnsi="黑体" w:eastAsia="黑体" w:cs="黑体"/>
          <w:bCs/>
          <w:sz w:val="32"/>
          <w:szCs w:val="32"/>
          <w:highlight w:val="none"/>
        </w:rPr>
        <w:t>三、支出决算表</w:t>
      </w:r>
    </w:p>
    <w:p>
      <w:pPr>
        <w:pStyle w:val="7"/>
        <w:rPr>
          <w:rFonts w:hint="eastAsia" w:eastAsia="宋体"/>
          <w:lang w:eastAsia="zh-CN"/>
        </w:rPr>
      </w:pPr>
    </w:p>
    <w:p>
      <w:pPr>
        <w:pStyle w:val="7"/>
        <w:rPr>
          <w:rFonts w:hint="eastAsia" w:eastAsia="宋体"/>
          <w:lang w:eastAsia="zh-CN"/>
        </w:rPr>
      </w:pPr>
      <w:r>
        <w:rPr>
          <w:rFonts w:hint="eastAsia" w:eastAsia="宋体"/>
          <w:lang w:eastAsia="zh-CN"/>
        </w:rPr>
        <w:drawing>
          <wp:inline distT="0" distB="0" distL="114300" distR="114300">
            <wp:extent cx="5271770" cy="1871980"/>
            <wp:effectExtent l="0" t="0" r="5080" b="13970"/>
            <wp:docPr id="13" name="图片 13" descr="17894341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789434166(1)"/>
                    <pic:cNvPicPr>
                      <a:picLocks noChangeAspect="1"/>
                    </pic:cNvPicPr>
                  </pic:nvPicPr>
                  <pic:blipFill>
                    <a:blip r:embed="rId6"/>
                    <a:stretch>
                      <a:fillRect/>
                    </a:stretch>
                  </pic:blipFill>
                  <pic:spPr>
                    <a:xfrm>
                      <a:off x="0" y="0"/>
                      <a:ext cx="5271770" cy="1871980"/>
                    </a:xfrm>
                    <a:prstGeom prst="rect">
                      <a:avLst/>
                    </a:prstGeom>
                  </pic:spPr>
                </pic:pic>
              </a:graphicData>
            </a:graphic>
          </wp:inline>
        </w:drawing>
      </w:r>
    </w:p>
    <w:p>
      <w:pPr>
        <w:pStyle w:val="7"/>
        <w:rPr>
          <w:rFonts w:hint="eastAsia" w:eastAsia="宋体"/>
          <w:lang w:eastAsia="zh-CN"/>
        </w:rPr>
      </w:pPr>
    </w:p>
    <w:p>
      <w:pPr>
        <w:adjustRightInd w:val="0"/>
        <w:snapToGrid w:val="0"/>
        <w:spacing w:line="580" w:lineRule="atLeast"/>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四、财政拨款收入支出决算总表</w:t>
      </w:r>
    </w:p>
    <w:p>
      <w:pPr>
        <w:pStyle w:val="7"/>
        <w:rPr>
          <w:rFonts w:hint="eastAsia" w:eastAsia="宋体"/>
          <w:lang w:eastAsia="zh-CN"/>
        </w:rPr>
      </w:pPr>
    </w:p>
    <w:p>
      <w:pPr>
        <w:adjustRightInd w:val="0"/>
        <w:snapToGrid w:val="0"/>
        <w:spacing w:line="580" w:lineRule="atLeast"/>
        <w:rPr>
          <w:rFonts w:hint="eastAsia" w:ascii="黑体" w:hAnsi="黑体" w:eastAsia="黑体" w:cs="黑体"/>
          <w:bCs/>
          <w:sz w:val="32"/>
          <w:szCs w:val="32"/>
          <w:highlight w:val="none"/>
        </w:rPr>
      </w:pPr>
      <w:r>
        <w:rPr>
          <w:rFonts w:hint="eastAsia" w:ascii="黑体" w:hAnsi="黑体" w:eastAsia="黑体" w:cs="黑体"/>
          <w:bCs/>
          <w:sz w:val="32"/>
          <w:szCs w:val="32"/>
          <w:highlight w:val="none"/>
          <w:lang w:eastAsia="zh-CN"/>
        </w:rPr>
        <w:drawing>
          <wp:inline distT="0" distB="0" distL="114300" distR="114300">
            <wp:extent cx="5267960" cy="3841115"/>
            <wp:effectExtent l="0" t="0" r="8890" b="6985"/>
            <wp:docPr id="14" name="图片 14" descr="1789434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789434201(1)"/>
                    <pic:cNvPicPr>
                      <a:picLocks noChangeAspect="1"/>
                    </pic:cNvPicPr>
                  </pic:nvPicPr>
                  <pic:blipFill>
                    <a:blip r:embed="rId7"/>
                    <a:stretch>
                      <a:fillRect/>
                    </a:stretch>
                  </pic:blipFill>
                  <pic:spPr>
                    <a:xfrm>
                      <a:off x="0" y="0"/>
                      <a:ext cx="5267960" cy="3841115"/>
                    </a:xfrm>
                    <a:prstGeom prst="rect">
                      <a:avLst/>
                    </a:prstGeom>
                  </pic:spPr>
                </pic:pic>
              </a:graphicData>
            </a:graphic>
          </wp:inline>
        </w:drawing>
      </w:r>
    </w:p>
    <w:p>
      <w:pPr>
        <w:numPr>
          <w:ilvl w:val="0"/>
          <w:numId w:val="0"/>
        </w:numPr>
        <w:adjustRightInd w:val="0"/>
        <w:snapToGrid w:val="0"/>
        <w:spacing w:line="580" w:lineRule="atLeast"/>
        <w:ind w:firstLine="640" w:firstLineChars="200"/>
        <w:rPr>
          <w:rFonts w:hint="eastAsia"/>
        </w:rPr>
      </w:pPr>
      <w:r>
        <w:rPr>
          <w:rFonts w:hint="eastAsia" w:ascii="黑体" w:hAnsi="黑体" w:eastAsia="黑体" w:cs="黑体"/>
          <w:bCs/>
          <w:sz w:val="32"/>
          <w:szCs w:val="32"/>
          <w:highlight w:val="none"/>
          <w:lang w:val="en-US" w:eastAsia="zh-CN"/>
        </w:rPr>
        <w:t>五、</w:t>
      </w:r>
      <w:r>
        <w:rPr>
          <w:rFonts w:hint="eastAsia" w:ascii="黑体" w:hAnsi="黑体" w:eastAsia="黑体" w:cs="黑体"/>
          <w:bCs/>
          <w:sz w:val="32"/>
          <w:szCs w:val="32"/>
          <w:highlight w:val="none"/>
        </w:rPr>
        <w:t>一般公共预算财政拨款支出决算表</w:t>
      </w:r>
    </w:p>
    <w:p>
      <w:pPr>
        <w:pStyle w:val="7"/>
        <w:rPr>
          <w:rFonts w:hint="eastAsia" w:eastAsia="黑体"/>
          <w:lang w:eastAsia="zh-CN"/>
        </w:rPr>
      </w:pPr>
      <w:r>
        <w:rPr>
          <w:rFonts w:hint="eastAsia" w:eastAsia="黑体"/>
          <w:lang w:eastAsia="zh-CN"/>
        </w:rPr>
        <w:drawing>
          <wp:inline distT="0" distB="0" distL="114300" distR="114300">
            <wp:extent cx="5269230" cy="2378710"/>
            <wp:effectExtent l="0" t="0" r="7620" b="2540"/>
            <wp:docPr id="15" name="图片 15" descr="17894342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1789434246(1)"/>
                    <pic:cNvPicPr>
                      <a:picLocks noChangeAspect="1"/>
                    </pic:cNvPicPr>
                  </pic:nvPicPr>
                  <pic:blipFill>
                    <a:blip r:embed="rId8"/>
                    <a:stretch>
                      <a:fillRect/>
                    </a:stretch>
                  </pic:blipFill>
                  <pic:spPr>
                    <a:xfrm>
                      <a:off x="0" y="0"/>
                      <a:ext cx="5269230" cy="2378710"/>
                    </a:xfrm>
                    <a:prstGeom prst="rect">
                      <a:avLst/>
                    </a:prstGeom>
                  </pic:spPr>
                </pic:pic>
              </a:graphicData>
            </a:graphic>
          </wp:inline>
        </w:drawing>
      </w:r>
    </w:p>
    <w:p>
      <w:pPr>
        <w:pStyle w:val="7"/>
        <w:rPr>
          <w:rFonts w:hint="eastAsia" w:eastAsia="宋体"/>
          <w:lang w:eastAsia="zh-CN"/>
        </w:rPr>
      </w:pPr>
    </w:p>
    <w:p>
      <w:pPr>
        <w:adjustRightInd w:val="0"/>
        <w:snapToGrid w:val="0"/>
        <w:spacing w:line="580" w:lineRule="atLeast"/>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rPr>
        <w:t>六、一般公共预算财政拨款基本支出决算</w:t>
      </w:r>
      <w:r>
        <w:rPr>
          <w:rFonts w:hint="eastAsia" w:ascii="黑体" w:hAnsi="黑体" w:eastAsia="黑体" w:cs="黑体"/>
          <w:bCs/>
          <w:sz w:val="32"/>
          <w:szCs w:val="32"/>
          <w:highlight w:val="none"/>
          <w:lang w:eastAsia="zh-CN"/>
        </w:rPr>
        <w:t>明细</w:t>
      </w:r>
      <w:r>
        <w:rPr>
          <w:rFonts w:hint="eastAsia" w:ascii="黑体" w:hAnsi="黑体" w:eastAsia="黑体" w:cs="黑体"/>
          <w:bCs/>
          <w:sz w:val="32"/>
          <w:szCs w:val="32"/>
          <w:highlight w:val="none"/>
        </w:rPr>
        <w:t>表</w:t>
      </w:r>
    </w:p>
    <w:p>
      <w:pPr>
        <w:pStyle w:val="7"/>
        <w:rPr>
          <w:rFonts w:hint="eastAsia" w:eastAsia="宋体"/>
          <w:lang w:eastAsia="zh-CN"/>
        </w:rPr>
      </w:pPr>
      <w:r>
        <w:rPr>
          <w:rFonts w:hint="eastAsia" w:eastAsia="宋体"/>
          <w:lang w:eastAsia="zh-CN"/>
        </w:rPr>
        <w:drawing>
          <wp:inline distT="0" distB="0" distL="114300" distR="114300">
            <wp:extent cx="5268595" cy="3257550"/>
            <wp:effectExtent l="0" t="0" r="8255" b="0"/>
            <wp:docPr id="16" name="图片 16" descr="17894343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1789434300(1)"/>
                    <pic:cNvPicPr>
                      <a:picLocks noChangeAspect="1"/>
                    </pic:cNvPicPr>
                  </pic:nvPicPr>
                  <pic:blipFill>
                    <a:blip r:embed="rId9"/>
                    <a:stretch>
                      <a:fillRect/>
                    </a:stretch>
                  </pic:blipFill>
                  <pic:spPr>
                    <a:xfrm>
                      <a:off x="0" y="0"/>
                      <a:ext cx="5268595" cy="3257550"/>
                    </a:xfrm>
                    <a:prstGeom prst="rect">
                      <a:avLst/>
                    </a:prstGeom>
                  </pic:spPr>
                </pic:pic>
              </a:graphicData>
            </a:graphic>
          </wp:inline>
        </w:drawing>
      </w:r>
    </w:p>
    <w:p>
      <w:pPr>
        <w:adjustRightInd w:val="0"/>
        <w:snapToGrid w:val="0"/>
        <w:spacing w:line="580" w:lineRule="atLeast"/>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lang w:eastAsia="zh-CN"/>
        </w:rPr>
        <w:t>七</w:t>
      </w:r>
      <w:r>
        <w:rPr>
          <w:rFonts w:hint="eastAsia" w:ascii="黑体" w:hAnsi="黑体" w:eastAsia="黑体" w:cs="黑体"/>
          <w:bCs/>
          <w:sz w:val="32"/>
          <w:szCs w:val="32"/>
          <w:highlight w:val="none"/>
        </w:rPr>
        <w:t>、政府性基金预算财政拨款收入支出决算表</w:t>
      </w:r>
    </w:p>
    <w:p>
      <w:pPr>
        <w:pStyle w:val="7"/>
        <w:rPr>
          <w:rFonts w:hint="eastAsia" w:eastAsia="宋体"/>
          <w:lang w:eastAsia="zh-CN"/>
        </w:rPr>
      </w:pPr>
    </w:p>
    <w:p>
      <w:pPr>
        <w:pStyle w:val="7"/>
        <w:rPr>
          <w:rFonts w:hint="eastAsia" w:eastAsia="宋体"/>
          <w:lang w:eastAsia="zh-CN"/>
        </w:rPr>
      </w:pPr>
      <w:r>
        <w:rPr>
          <w:rFonts w:hint="eastAsia" w:eastAsia="宋体"/>
          <w:lang w:eastAsia="zh-CN"/>
        </w:rPr>
        <w:drawing>
          <wp:inline distT="0" distB="0" distL="114300" distR="114300">
            <wp:extent cx="5269865" cy="1154430"/>
            <wp:effectExtent l="0" t="0" r="6985" b="7620"/>
            <wp:docPr id="17" name="图片 17" descr="17894343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789434328(1)"/>
                    <pic:cNvPicPr>
                      <a:picLocks noChangeAspect="1"/>
                    </pic:cNvPicPr>
                  </pic:nvPicPr>
                  <pic:blipFill>
                    <a:blip r:embed="rId10"/>
                    <a:stretch>
                      <a:fillRect/>
                    </a:stretch>
                  </pic:blipFill>
                  <pic:spPr>
                    <a:xfrm>
                      <a:off x="0" y="0"/>
                      <a:ext cx="5269865" cy="1154430"/>
                    </a:xfrm>
                    <a:prstGeom prst="rect">
                      <a:avLst/>
                    </a:prstGeom>
                  </pic:spPr>
                </pic:pic>
              </a:graphicData>
            </a:graphic>
          </wp:inline>
        </w:drawing>
      </w:r>
    </w:p>
    <w:p>
      <w:pPr>
        <w:adjustRightInd w:val="0"/>
        <w:snapToGrid w:val="0"/>
        <w:spacing w:line="580" w:lineRule="atLeast"/>
        <w:ind w:firstLine="640" w:firstLineChars="200"/>
        <w:rPr>
          <w:rFonts w:hint="eastAsia" w:ascii="黑体" w:hAnsi="黑体" w:eastAsia="黑体" w:cs="黑体"/>
          <w:bCs/>
          <w:sz w:val="32"/>
          <w:szCs w:val="32"/>
          <w:highlight w:val="none"/>
        </w:rPr>
      </w:pPr>
      <w:r>
        <w:rPr>
          <w:rFonts w:hint="eastAsia" w:ascii="黑体" w:hAnsi="黑体" w:eastAsia="黑体" w:cs="黑体"/>
          <w:bCs/>
          <w:sz w:val="32"/>
          <w:szCs w:val="32"/>
          <w:highlight w:val="none"/>
          <w:lang w:eastAsia="zh-CN"/>
        </w:rPr>
        <w:t>八、</w:t>
      </w:r>
      <w:r>
        <w:rPr>
          <w:rFonts w:hint="eastAsia" w:ascii="黑体" w:hAnsi="黑体" w:eastAsia="黑体" w:cs="黑体"/>
          <w:bCs/>
          <w:sz w:val="32"/>
          <w:szCs w:val="32"/>
          <w:highlight w:val="none"/>
        </w:rPr>
        <w:t>国有资本经营预算财政拨款支出决算表</w:t>
      </w:r>
    </w:p>
    <w:p>
      <w:pPr>
        <w:pStyle w:val="7"/>
        <w:rPr>
          <w:rFonts w:hint="eastAsia" w:eastAsia="宋体"/>
          <w:lang w:eastAsia="zh-CN"/>
        </w:rPr>
      </w:pPr>
      <w:r>
        <w:rPr>
          <w:rFonts w:hint="eastAsia" w:eastAsia="宋体"/>
          <w:lang w:eastAsia="zh-CN"/>
        </w:rPr>
        <w:drawing>
          <wp:inline distT="0" distB="0" distL="114300" distR="114300">
            <wp:extent cx="5270500" cy="2001520"/>
            <wp:effectExtent l="0" t="0" r="6350" b="17780"/>
            <wp:docPr id="19" name="图片 19" descr="17894344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1789434471(1)"/>
                    <pic:cNvPicPr>
                      <a:picLocks noChangeAspect="1"/>
                    </pic:cNvPicPr>
                  </pic:nvPicPr>
                  <pic:blipFill>
                    <a:blip r:embed="rId11"/>
                    <a:stretch>
                      <a:fillRect/>
                    </a:stretch>
                  </pic:blipFill>
                  <pic:spPr>
                    <a:xfrm>
                      <a:off x="0" y="0"/>
                      <a:ext cx="5270500" cy="2001520"/>
                    </a:xfrm>
                    <a:prstGeom prst="rect">
                      <a:avLst/>
                    </a:prstGeom>
                  </pic:spPr>
                </pic:pic>
              </a:graphicData>
            </a:graphic>
          </wp:inline>
        </w:drawing>
      </w:r>
    </w:p>
    <w:p>
      <w:pPr>
        <w:adjustRightInd w:val="0"/>
        <w:snapToGrid w:val="0"/>
        <w:spacing w:line="580" w:lineRule="atLeast"/>
        <w:ind w:firstLine="640" w:firstLineChars="20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eastAsia="zh-CN"/>
        </w:rPr>
        <w:t>九</w:t>
      </w:r>
      <w:r>
        <w:rPr>
          <w:rFonts w:hint="eastAsia" w:ascii="黑体" w:hAnsi="黑体" w:eastAsia="黑体" w:cs="黑体"/>
          <w:bCs/>
          <w:sz w:val="32"/>
          <w:szCs w:val="32"/>
          <w:highlight w:val="none"/>
        </w:rPr>
        <w:t>、财政拨款“三公”经费支出决算表</w:t>
      </w:r>
    </w:p>
    <w:p>
      <w:pPr>
        <w:pStyle w:val="7"/>
        <w:rPr>
          <w:rFonts w:hint="eastAsia" w:eastAsia="宋体"/>
          <w:lang w:eastAsia="zh-CN"/>
        </w:rPr>
      </w:pPr>
      <w:r>
        <w:rPr>
          <w:rFonts w:hint="eastAsia" w:eastAsia="宋体"/>
          <w:lang w:eastAsia="zh-CN"/>
        </w:rPr>
        <w:drawing>
          <wp:inline distT="0" distB="0" distL="114300" distR="114300">
            <wp:extent cx="5271135" cy="1354455"/>
            <wp:effectExtent l="0" t="0" r="5715" b="17145"/>
            <wp:docPr id="20" name="图片 20" descr="17894345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789434513(1)"/>
                    <pic:cNvPicPr>
                      <a:picLocks noChangeAspect="1"/>
                    </pic:cNvPicPr>
                  </pic:nvPicPr>
                  <pic:blipFill>
                    <a:blip r:embed="rId12"/>
                    <a:stretch>
                      <a:fillRect/>
                    </a:stretch>
                  </pic:blipFill>
                  <pic:spPr>
                    <a:xfrm>
                      <a:off x="0" y="0"/>
                      <a:ext cx="5271135" cy="1354455"/>
                    </a:xfrm>
                    <a:prstGeom prst="rect">
                      <a:avLst/>
                    </a:prstGeom>
                  </pic:spPr>
                </pic:pic>
              </a:graphicData>
            </a:graphic>
          </wp:inline>
        </w:drawing>
      </w:r>
    </w:p>
    <w:p>
      <w:pPr>
        <w:jc w:val="cente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第三部分  2025年度部门决算情况说明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一、收入支出决算总体情况说明</w:t>
      </w:r>
    </w:p>
    <w:p>
      <w:pPr>
        <w:adjustRightInd w:val="0"/>
        <w:snapToGrid w:val="0"/>
        <w:spacing w:line="580" w:lineRule="atLeast"/>
        <w:ind w:firstLine="640" w:firstLineChars="200"/>
        <w:rPr>
          <w:rFonts w:hint="eastAsia" w:ascii="仿宋_GB2312" w:hAnsi="仿宋_GB2312" w:eastAsia="仿宋_GB2312" w:cs="仿宋_GB2312"/>
          <w:bCs/>
          <w:sz w:val="32"/>
          <w:szCs w:val="32"/>
          <w:highlight w:val="none"/>
          <w:lang w:val="en-US" w:eastAsia="zh-CN"/>
        </w:rPr>
      </w:pPr>
      <w:bookmarkStart w:id="0" w:name="OLE_LINK1"/>
      <w:r>
        <w:rPr>
          <w:rFonts w:hint="eastAsia" w:ascii="仿宋_GB2312" w:hAnsi="仿宋_GB2312" w:eastAsia="仿宋_GB2312" w:cs="仿宋_GB2312"/>
          <w:bCs/>
          <w:sz w:val="32"/>
          <w:szCs w:val="32"/>
          <w:highlight w:val="none"/>
          <w:lang w:val="en-US" w:eastAsia="zh-CN"/>
        </w:rPr>
        <w:t>2025年度收、支总计均为</w:t>
      </w:r>
      <w:r>
        <w:rPr>
          <w:rFonts w:hint="eastAsia" w:ascii="仿宋_GB2312" w:hAnsi="仿宋_GB2312" w:eastAsia="仿宋_GB2312" w:cs="仿宋_GB2312"/>
          <w:bCs/>
          <w:sz w:val="32"/>
          <w:szCs w:val="32"/>
          <w:highlight w:val="none"/>
          <w:u w:val="none"/>
          <w:lang w:val="en-US" w:eastAsia="zh-CN"/>
        </w:rPr>
        <w:t>154.99</w:t>
      </w:r>
      <w:r>
        <w:rPr>
          <w:rFonts w:hint="eastAsia" w:ascii="仿宋_GB2312" w:hAnsi="仿宋_GB2312" w:eastAsia="仿宋_GB2312" w:cs="仿宋_GB2312"/>
          <w:bCs/>
          <w:sz w:val="32"/>
          <w:szCs w:val="32"/>
          <w:highlight w:val="none"/>
          <w:lang w:val="en-US" w:eastAsia="zh-CN"/>
        </w:rPr>
        <w:t>万元。</w:t>
      </w:r>
      <w:r>
        <w:rPr>
          <w:rFonts w:hint="eastAsia" w:ascii="仿宋_GB2312" w:hAnsi="宋体" w:eastAsia="仿宋_GB2312"/>
          <w:bCs/>
          <w:sz w:val="32"/>
          <w:szCs w:val="32"/>
          <w:highlight w:val="none"/>
          <w:lang w:val="en-US" w:eastAsia="zh-CN"/>
        </w:rPr>
        <w:t>与</w:t>
      </w:r>
      <w:r>
        <w:rPr>
          <w:rFonts w:hint="eastAsia" w:ascii="仿宋_GB2312" w:hAnsi="宋体"/>
          <w:bCs/>
          <w:sz w:val="32"/>
          <w:szCs w:val="32"/>
          <w:highlight w:val="none"/>
          <w:lang w:val="en-US" w:eastAsia="zh-CN"/>
        </w:rPr>
        <w:t>2024年</w:t>
      </w:r>
      <w:r>
        <w:rPr>
          <w:rFonts w:hint="eastAsia" w:ascii="仿宋_GB2312" w:hAnsi="宋体" w:eastAsia="仿宋_GB2312"/>
          <w:bCs/>
          <w:sz w:val="32"/>
          <w:szCs w:val="32"/>
          <w:highlight w:val="none"/>
          <w:lang w:val="en-US" w:eastAsia="zh-CN"/>
        </w:rPr>
        <w:t>度相比，收、支总计各减少</w:t>
      </w:r>
      <w:r>
        <w:rPr>
          <w:rFonts w:hint="eastAsia" w:ascii="仿宋_GB2312" w:hAnsi="宋体"/>
          <w:bCs/>
          <w:sz w:val="32"/>
          <w:szCs w:val="32"/>
          <w:highlight w:val="none"/>
          <w:u w:val="single"/>
          <w:lang w:val="en-US" w:eastAsia="zh-CN"/>
        </w:rPr>
        <w:t>17.66</w:t>
      </w:r>
      <w:r>
        <w:rPr>
          <w:rFonts w:hint="eastAsia" w:ascii="仿宋_GB2312" w:hAnsi="宋体" w:eastAsia="仿宋_GB2312"/>
          <w:bCs/>
          <w:sz w:val="32"/>
          <w:szCs w:val="32"/>
          <w:highlight w:val="none"/>
          <w:lang w:val="en-US" w:eastAsia="zh-CN"/>
        </w:rPr>
        <w:t>万元，下降</w:t>
      </w:r>
      <w:r>
        <w:rPr>
          <w:rFonts w:hint="eastAsia" w:ascii="仿宋_GB2312" w:hAnsi="宋体"/>
          <w:bCs/>
          <w:sz w:val="32"/>
          <w:szCs w:val="32"/>
          <w:highlight w:val="none"/>
          <w:u w:val="single"/>
          <w:lang w:val="en-US" w:eastAsia="zh-CN"/>
        </w:rPr>
        <w:t>10.23</w:t>
      </w:r>
      <w:r>
        <w:rPr>
          <w:rFonts w:hint="eastAsia" w:ascii="仿宋_GB2312" w:hAnsi="宋体" w:eastAsia="仿宋_GB2312"/>
          <w:bCs/>
          <w:sz w:val="32"/>
          <w:szCs w:val="32"/>
          <w:highlight w:val="none"/>
          <w:lang w:val="en-US" w:eastAsia="zh-CN"/>
        </w:rPr>
        <w:t xml:space="preserve"> %</w:t>
      </w:r>
      <w:bookmarkEnd w:id="0"/>
      <w:r>
        <w:rPr>
          <w:rFonts w:hint="eastAsia" w:ascii="仿宋_GB2312" w:hAnsi="宋体" w:eastAsia="仿宋_GB2312"/>
          <w:bCs/>
          <w:sz w:val="32"/>
          <w:szCs w:val="32"/>
          <w:highlight w:val="none"/>
          <w:lang w:val="en-US" w:eastAsia="zh-CN"/>
        </w:rPr>
        <w:t>，主要原因是人员调动和项目经费减少。</w:t>
      </w:r>
    </w:p>
    <w:p>
      <w:pPr>
        <w:numPr>
          <w:ilvl w:val="0"/>
          <w:numId w:val="0"/>
        </w:numPr>
        <w:adjustRightInd w:val="0"/>
        <w:snapToGrid w:val="0"/>
        <w:spacing w:line="580" w:lineRule="atLeast"/>
        <w:ind w:firstLine="640" w:firstLineChars="200"/>
        <w:rPr>
          <w:rFonts w:hint="eastAsia" w:ascii="黑体" w:hAnsi="黑体" w:eastAsia="黑体" w:cs="黑体"/>
          <w:bCs/>
          <w:sz w:val="32"/>
          <w:szCs w:val="32"/>
          <w:highlight w:val="none"/>
          <w:lang w:val="en-US" w:eastAsia="zh-CN"/>
        </w:rPr>
      </w:pPr>
      <w:r>
        <w:rPr>
          <w:rFonts w:hint="eastAsia" w:ascii="黑体" w:hAnsi="黑体" w:eastAsia="黑体" w:cs="黑体"/>
          <w:bCs/>
          <w:sz w:val="32"/>
          <w:szCs w:val="32"/>
          <w:highlight w:val="none"/>
          <w:lang w:val="en-US" w:eastAsia="zh-CN"/>
        </w:rPr>
        <w:t>二、收入决算情况说明</w:t>
      </w:r>
    </w:p>
    <w:p>
      <w:pPr>
        <w:pStyle w:val="7"/>
        <w:ind w:firstLine="640" w:firstLineChars="200"/>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2025年度收入合计</w:t>
      </w:r>
      <w:r>
        <w:rPr>
          <w:rFonts w:hint="eastAsia" w:ascii="仿宋_GB2312" w:hAnsi="仿宋_GB2312" w:eastAsia="仿宋_GB2312" w:cs="仿宋_GB2312"/>
          <w:bCs/>
          <w:sz w:val="32"/>
          <w:szCs w:val="32"/>
          <w:highlight w:val="none"/>
          <w:u w:val="none"/>
          <w:lang w:val="en-US" w:eastAsia="zh-CN"/>
        </w:rPr>
        <w:t>154.99</w:t>
      </w:r>
      <w:r>
        <w:rPr>
          <w:rFonts w:hint="eastAsia" w:ascii="仿宋_GB2312" w:hAnsi="仿宋_GB2312" w:eastAsia="仿宋_GB2312" w:cs="仿宋_GB2312"/>
          <w:bCs/>
          <w:sz w:val="32"/>
          <w:szCs w:val="32"/>
          <w:highlight w:val="none"/>
          <w:lang w:val="en-US" w:eastAsia="zh-CN"/>
        </w:rPr>
        <w:t>万元，其中：财政拨款收入</w:t>
      </w:r>
      <w:r>
        <w:rPr>
          <w:rFonts w:hint="eastAsia" w:ascii="仿宋_GB2312" w:hAnsi="仿宋_GB2312" w:eastAsia="仿宋_GB2312" w:cs="仿宋_GB2312"/>
          <w:bCs/>
          <w:sz w:val="32"/>
          <w:szCs w:val="32"/>
          <w:highlight w:val="none"/>
          <w:u w:val="none"/>
          <w:lang w:val="en-US" w:eastAsia="zh-CN"/>
        </w:rPr>
        <w:t>154.99</w:t>
      </w:r>
      <w:r>
        <w:rPr>
          <w:rFonts w:hint="eastAsia" w:ascii="仿宋_GB2312" w:hAnsi="仿宋_GB2312" w:eastAsia="仿宋_GB2312" w:cs="仿宋_GB2312"/>
          <w:bCs/>
          <w:sz w:val="32"/>
          <w:szCs w:val="32"/>
          <w:highlight w:val="none"/>
          <w:lang w:val="en-US" w:eastAsia="zh-CN"/>
        </w:rPr>
        <w:t>万元，占本年收入100%。</w:t>
      </w:r>
    </w:p>
    <w:p>
      <w:pPr>
        <w:bidi w:val="0"/>
        <w:ind w:firstLine="640" w:firstLineChars="200"/>
        <w:rPr>
          <w:rFonts w:hint="eastAsia" w:ascii="黑体" w:hAnsi="黑体" w:eastAsia="黑体" w:cs="黑体"/>
          <w:sz w:val="32"/>
          <w:szCs w:val="32"/>
        </w:rPr>
      </w:pPr>
      <w:r>
        <w:rPr>
          <w:rFonts w:hint="eastAsia" w:ascii="黑体" w:hAnsi="黑体" w:eastAsia="黑体" w:cs="黑体"/>
          <w:sz w:val="32"/>
          <w:szCs w:val="32"/>
          <w:lang w:val="en-US" w:eastAsia="zh-CN"/>
        </w:rPr>
        <w:t>三、支出决算情况说明</w:t>
      </w:r>
    </w:p>
    <w:p>
      <w:pPr>
        <w:pStyle w:val="7"/>
        <w:ind w:firstLine="640" w:firstLineChars="200"/>
        <w:rPr>
          <w:rFonts w:hint="eastAsia" w:ascii="仿宋_GB2312" w:eastAsia="仿宋_GB2312"/>
          <w:bCs/>
          <w:kern w:val="44"/>
          <w:sz w:val="32"/>
          <w:szCs w:val="32"/>
          <w:highlight w:val="none"/>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w:t>
      </w:r>
      <w:r>
        <w:rPr>
          <w:rFonts w:hint="eastAsia" w:ascii="仿宋_GB2312" w:hAnsi="仿宋_GB2312" w:eastAsia="仿宋_GB2312" w:cs="仿宋_GB2312"/>
          <w:bCs/>
          <w:sz w:val="32"/>
          <w:szCs w:val="32"/>
          <w:highlight w:val="none"/>
          <w:u w:val="none"/>
          <w:lang w:val="en-US" w:eastAsia="zh-CN"/>
        </w:rPr>
        <w:t>154.99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w:t>
      </w:r>
      <w:r>
        <w:rPr>
          <w:rFonts w:hint="eastAsia" w:ascii="仿宋_GB2312" w:eastAsia="仿宋_GB2312"/>
          <w:bCs/>
          <w:kern w:val="44"/>
          <w:sz w:val="32"/>
          <w:szCs w:val="32"/>
          <w:highlight w:val="none"/>
        </w:rPr>
        <w:t>其中：基本支出</w:t>
      </w:r>
      <w:r>
        <w:rPr>
          <w:rFonts w:hint="eastAsia" w:ascii="仿宋_GB2312" w:eastAsia="仿宋_GB2312"/>
          <w:bCs/>
          <w:kern w:val="44"/>
          <w:sz w:val="32"/>
          <w:szCs w:val="32"/>
          <w:highlight w:val="none"/>
          <w:lang w:val="en-US" w:eastAsia="zh-CN"/>
        </w:rPr>
        <w:t>101.90</w:t>
      </w:r>
      <w:r>
        <w:rPr>
          <w:rFonts w:hint="eastAsia" w:ascii="仿宋_GB2312" w:eastAsia="仿宋_GB2312"/>
          <w:bCs/>
          <w:kern w:val="44"/>
          <w:sz w:val="32"/>
          <w:szCs w:val="32"/>
          <w:highlight w:val="none"/>
        </w:rPr>
        <w:t>万元，占本年支出</w:t>
      </w:r>
      <w:r>
        <w:rPr>
          <w:rFonts w:hint="eastAsia" w:ascii="仿宋_GB2312" w:eastAsia="仿宋_GB2312"/>
          <w:bCs/>
          <w:kern w:val="44"/>
          <w:sz w:val="32"/>
          <w:szCs w:val="32"/>
          <w:highlight w:val="none"/>
          <w:lang w:val="en-US" w:eastAsia="zh-CN"/>
        </w:rPr>
        <w:t>65.7</w:t>
      </w:r>
      <w:r>
        <w:rPr>
          <w:rFonts w:hint="eastAsia" w:ascii="仿宋_GB2312" w:eastAsia="仿宋_GB2312"/>
          <w:bCs/>
          <w:kern w:val="44"/>
          <w:sz w:val="32"/>
          <w:szCs w:val="32"/>
          <w:highlight w:val="none"/>
        </w:rPr>
        <w:t>%；项目支出</w:t>
      </w:r>
      <w:r>
        <w:rPr>
          <w:rFonts w:hint="eastAsia" w:ascii="仿宋_GB2312" w:eastAsia="仿宋_GB2312"/>
          <w:bCs/>
          <w:kern w:val="44"/>
          <w:sz w:val="32"/>
          <w:szCs w:val="32"/>
          <w:highlight w:val="none"/>
          <w:lang w:val="en-US" w:eastAsia="zh-CN"/>
        </w:rPr>
        <w:t>53.09</w:t>
      </w:r>
      <w:r>
        <w:rPr>
          <w:rFonts w:hint="eastAsia" w:ascii="仿宋_GB2312" w:eastAsia="仿宋_GB2312"/>
          <w:bCs/>
          <w:kern w:val="44"/>
          <w:sz w:val="32"/>
          <w:szCs w:val="32"/>
          <w:highlight w:val="none"/>
        </w:rPr>
        <w:t>万元，占本年支出</w:t>
      </w:r>
      <w:r>
        <w:rPr>
          <w:rFonts w:hint="eastAsia" w:ascii="仿宋_GB2312" w:eastAsia="仿宋_GB2312"/>
          <w:bCs/>
          <w:kern w:val="44"/>
          <w:sz w:val="32"/>
          <w:szCs w:val="32"/>
          <w:highlight w:val="none"/>
          <w:lang w:val="en-US" w:eastAsia="zh-CN"/>
        </w:rPr>
        <w:t>34.3</w:t>
      </w:r>
      <w:r>
        <w:rPr>
          <w:rFonts w:hint="eastAsia" w:ascii="仿宋_GB2312" w:eastAsia="仿宋_GB2312"/>
          <w:bCs/>
          <w:kern w:val="44"/>
          <w:sz w:val="32"/>
          <w:szCs w:val="32"/>
          <w:highlight w:val="none"/>
        </w:rPr>
        <w:t>%</w:t>
      </w:r>
      <w:r>
        <w:rPr>
          <w:rFonts w:hint="eastAsia" w:ascii="仿宋_GB2312" w:eastAsia="仿宋_GB2312"/>
          <w:bCs/>
          <w:kern w:val="44"/>
          <w:sz w:val="32"/>
          <w:szCs w:val="32"/>
          <w:highlight w:val="none"/>
          <w:lang w:eastAsia="zh-CN"/>
        </w:rPr>
        <w:t>。</w:t>
      </w:r>
    </w:p>
    <w:p>
      <w:pPr>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四、财政拨款收入支出决算总体情况说明</w:t>
      </w:r>
    </w:p>
    <w:p>
      <w:pPr>
        <w:pStyle w:val="7"/>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仿宋_GB2312" w:eastAsia="仿宋_GB2312"/>
          <w:bCs/>
          <w:kern w:val="44"/>
          <w:sz w:val="32"/>
          <w:szCs w:val="32"/>
          <w:highlight w:val="none"/>
          <w:lang w:val="en-US" w:eastAsia="zh-CN"/>
        </w:rPr>
      </w:pPr>
      <w:r>
        <w:rPr>
          <w:rFonts w:hint="eastAsia" w:ascii="仿宋_GB2312" w:eastAsia="仿宋_GB2312"/>
          <w:bCs/>
          <w:kern w:val="44"/>
          <w:sz w:val="32"/>
          <w:szCs w:val="32"/>
          <w:highlight w:val="none"/>
          <w:lang w:val="en-US" w:eastAsia="zh-CN"/>
        </w:rPr>
        <w:t>2025年度财政拨款收、支总计均为</w:t>
      </w:r>
      <w:r>
        <w:rPr>
          <w:rFonts w:hint="eastAsia" w:ascii="仿宋_GB2312" w:hAnsi="仿宋_GB2312" w:eastAsia="仿宋_GB2312" w:cs="仿宋_GB2312"/>
          <w:bCs/>
          <w:sz w:val="32"/>
          <w:szCs w:val="32"/>
          <w:highlight w:val="none"/>
          <w:u w:val="none"/>
          <w:lang w:val="en-US" w:eastAsia="zh-CN"/>
        </w:rPr>
        <w:t>154.99</w:t>
      </w:r>
      <w:r>
        <w:rPr>
          <w:rFonts w:hint="eastAsia" w:ascii="仿宋_GB2312" w:eastAsia="仿宋_GB2312"/>
          <w:bCs/>
          <w:kern w:val="44"/>
          <w:sz w:val="32"/>
          <w:szCs w:val="32"/>
          <w:highlight w:val="none"/>
          <w:lang w:val="en-US" w:eastAsia="zh-CN"/>
        </w:rPr>
        <w:t>万元。</w:t>
      </w:r>
    </w:p>
    <w:p>
      <w:pPr>
        <w:pStyle w:val="7"/>
        <w:keepNext w:val="0"/>
        <w:keepLines w:val="0"/>
        <w:pageBreakBefore w:val="0"/>
        <w:widowControl w:val="0"/>
        <w:kinsoku/>
        <w:wordWrap/>
        <w:overflowPunct/>
        <w:topLinePunct w:val="0"/>
        <w:autoSpaceDE/>
        <w:autoSpaceDN/>
        <w:bidi w:val="0"/>
        <w:spacing w:line="570" w:lineRule="exact"/>
        <w:ind w:firstLine="640" w:firstLineChars="200"/>
        <w:textAlignment w:val="auto"/>
        <w:rPr>
          <w:rFonts w:hint="eastAsia" w:ascii="仿宋_GB2312" w:eastAsia="仿宋_GB2312"/>
          <w:bCs/>
          <w:kern w:val="44"/>
          <w:sz w:val="32"/>
          <w:szCs w:val="32"/>
          <w:highlight w:val="none"/>
          <w:lang w:val="en-US" w:eastAsia="zh-CN"/>
        </w:rPr>
      </w:pPr>
      <w:r>
        <w:rPr>
          <w:rFonts w:hint="eastAsia" w:ascii="仿宋_GB2312" w:eastAsia="仿宋_GB2312"/>
          <w:bCs/>
          <w:kern w:val="44"/>
          <w:sz w:val="32"/>
          <w:szCs w:val="32"/>
          <w:highlight w:val="none"/>
          <w:lang w:val="en-US" w:eastAsia="zh-CN"/>
        </w:rPr>
        <w:t>2025年度财政拨款收入中，一般公共预算财政拨款收入141.61万元，政府性基金预算财政拨款收入13.38万元。</w:t>
      </w:r>
    </w:p>
    <w:p>
      <w:pPr>
        <w:keepNext w:val="0"/>
        <w:keepLines w:val="0"/>
        <w:pageBreakBefore w:val="0"/>
        <w:widowControl w:val="0"/>
        <w:numPr>
          <w:ilvl w:val="0"/>
          <w:numId w:val="2"/>
        </w:numPr>
        <w:kinsoku/>
        <w:wordWrap/>
        <w:overflowPunct/>
        <w:topLinePunct w:val="0"/>
        <w:autoSpaceDE/>
        <w:autoSpaceDN/>
        <w:bidi w:val="0"/>
        <w:spacing w:line="57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一般公共预算财政拨款支出决算情况说明</w:t>
      </w:r>
    </w:p>
    <w:p>
      <w:pPr>
        <w:keepNext w:val="0"/>
        <w:keepLines w:val="0"/>
        <w:pageBreakBefore w:val="0"/>
        <w:widowControl w:val="0"/>
        <w:kinsoku/>
        <w:wordWrap/>
        <w:overflowPunct/>
        <w:topLinePunct w:val="0"/>
        <w:autoSpaceDE/>
        <w:autoSpaceDN/>
        <w:bidi w:val="0"/>
        <w:adjustRightInd w:val="0"/>
        <w:snapToGrid w:val="0"/>
        <w:spacing w:line="570" w:lineRule="exact"/>
        <w:ind w:firstLine="640" w:firstLineChars="200"/>
        <w:textAlignment w:val="auto"/>
        <w:rPr>
          <w:rFonts w:hint="eastAsia" w:ascii="楷体_GB2312" w:hAnsi="楷体_GB2312" w:eastAsia="楷体_GB2312" w:cs="楷体_GB2312"/>
          <w:bCs/>
          <w:kern w:val="44"/>
          <w:sz w:val="32"/>
          <w:szCs w:val="32"/>
          <w:highlight w:val="none"/>
        </w:rPr>
      </w:pPr>
      <w:r>
        <w:rPr>
          <w:rFonts w:hint="eastAsia" w:ascii="楷体_GB2312" w:hAnsi="楷体_GB2312" w:eastAsia="楷体_GB2312" w:cs="楷体_GB2312"/>
          <w:bCs/>
          <w:kern w:val="44"/>
          <w:sz w:val="32"/>
          <w:szCs w:val="32"/>
          <w:highlight w:val="none"/>
        </w:rPr>
        <w:t>（一）</w:t>
      </w:r>
      <w:r>
        <w:rPr>
          <w:rFonts w:hint="eastAsia" w:ascii="楷体_GB2312" w:hAnsi="楷体_GB2312" w:eastAsia="楷体_GB2312" w:cs="楷体_GB2312"/>
          <w:bCs/>
          <w:kern w:val="44"/>
          <w:sz w:val="32"/>
          <w:szCs w:val="32"/>
          <w:highlight w:val="none"/>
          <w:lang w:eastAsia="zh-CN"/>
        </w:rPr>
        <w:t>一般公共预算</w:t>
      </w:r>
      <w:r>
        <w:rPr>
          <w:rFonts w:hint="eastAsia" w:ascii="楷体_GB2312" w:hAnsi="楷体_GB2312" w:eastAsia="楷体_GB2312" w:cs="楷体_GB2312"/>
          <w:bCs/>
          <w:kern w:val="44"/>
          <w:sz w:val="32"/>
          <w:szCs w:val="32"/>
          <w:highlight w:val="none"/>
        </w:rPr>
        <w:t>财政拨款支出决算总体情况。</w:t>
      </w:r>
    </w:p>
    <w:p>
      <w:pPr>
        <w:pStyle w:val="7"/>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eastAsia="仿宋_GB2312"/>
          <w:bCs/>
          <w:kern w:val="44"/>
          <w:sz w:val="32"/>
          <w:szCs w:val="32"/>
          <w:highlight w:val="none"/>
        </w:rPr>
      </w:pPr>
      <w:r>
        <w:rPr>
          <w:rFonts w:hint="eastAsia" w:ascii="宋体" w:hAnsi="宋体" w:eastAsia="仿宋_GB2312" w:cs="仿宋_GB2312"/>
          <w:sz w:val="32"/>
          <w:szCs w:val="32"/>
          <w:highlight w:val="none"/>
          <w:u w:val="none"/>
          <w:lang w:val="en" w:eastAsia="zh-CN"/>
        </w:rPr>
        <w:t>按照党中央、国务院关于党政机关习惯过紧日子的有关要求，</w:t>
      </w:r>
      <w:r>
        <w:rPr>
          <w:rFonts w:hint="default" w:ascii="宋体" w:hAnsi="宋体" w:eastAsia="仿宋_GB2312" w:cs="Times New Roman"/>
          <w:b w:val="0"/>
          <w:bCs/>
          <w:color w:val="auto"/>
          <w:kern w:val="0"/>
          <w:sz w:val="32"/>
          <w:szCs w:val="32"/>
          <w:highlight w:val="none"/>
          <w:u w:val="none"/>
        </w:rPr>
        <w:t>厉行节约办一切事业，</w:t>
      </w:r>
      <w:r>
        <w:rPr>
          <w:rFonts w:hint="default" w:ascii="宋体" w:hAnsi="宋体" w:eastAsia="仿宋_GB2312" w:cs="Times New Roman"/>
          <w:b w:val="0"/>
          <w:bCs/>
          <w:color w:val="auto"/>
          <w:kern w:val="0"/>
          <w:sz w:val="32"/>
          <w:szCs w:val="32"/>
          <w:highlight w:val="none"/>
          <w:u w:val="none"/>
          <w:lang w:eastAsia="zh-CN"/>
        </w:rPr>
        <w:t>严控</w:t>
      </w:r>
      <w:r>
        <w:rPr>
          <w:rFonts w:hint="default" w:ascii="宋体" w:hAnsi="宋体" w:eastAsia="仿宋_GB2312" w:cs="Times New Roman"/>
          <w:b w:val="0"/>
          <w:bCs/>
          <w:color w:val="auto"/>
          <w:kern w:val="0"/>
          <w:sz w:val="32"/>
          <w:szCs w:val="32"/>
          <w:highlight w:val="none"/>
          <w:u w:val="none"/>
        </w:rPr>
        <w:t>一般性支出</w:t>
      </w:r>
      <w:r>
        <w:rPr>
          <w:rFonts w:hint="default" w:ascii="宋体" w:hAnsi="宋体" w:eastAsia="仿宋_GB2312" w:cs="Times New Roman"/>
          <w:b w:val="0"/>
          <w:bCs/>
          <w:color w:val="auto"/>
          <w:kern w:val="0"/>
          <w:sz w:val="32"/>
          <w:szCs w:val="32"/>
          <w:highlight w:val="none"/>
          <w:u w:val="none"/>
          <w:lang w:eastAsia="zh-CN"/>
        </w:rPr>
        <w:t>。同时坚持有保有压，优化支出结构，</w:t>
      </w:r>
      <w:r>
        <w:rPr>
          <w:rFonts w:hint="eastAsia" w:ascii="仿宋_GB2312" w:hAnsi="仿宋_GB2312" w:eastAsia="仿宋_GB2312" w:cs="仿宋_GB2312"/>
          <w:b w:val="0"/>
          <w:bCs/>
          <w:color w:val="auto"/>
          <w:kern w:val="0"/>
          <w:sz w:val="32"/>
          <w:szCs w:val="32"/>
          <w:highlight w:val="none"/>
          <w:u w:val="none"/>
          <w:lang w:eastAsia="zh-CN"/>
        </w:rPr>
        <w:t>提高资金使用效率，</w:t>
      </w:r>
      <w:r>
        <w:rPr>
          <w:rFonts w:hint="eastAsia" w:ascii="仿宋_GB2312" w:hAnsi="仿宋_GB2312" w:eastAsia="仿宋_GB2312" w:cs="仿宋_GB2312"/>
          <w:b w:val="0"/>
          <w:bCs/>
          <w:color w:val="auto"/>
          <w:kern w:val="0"/>
          <w:sz w:val="32"/>
          <w:szCs w:val="32"/>
          <w:highlight w:val="none"/>
          <w:u w:val="none"/>
          <w:lang w:val="en-US" w:eastAsia="zh-CN"/>
        </w:rPr>
        <w:t>合理保障重点支出，</w:t>
      </w:r>
      <w:r>
        <w:rPr>
          <w:rFonts w:hint="eastAsia" w:ascii="仿宋_GB2312" w:hAnsi="仿宋_GB2312" w:eastAsia="仿宋_GB2312" w:cs="仿宋_GB2312"/>
          <w:b w:val="0"/>
          <w:bCs/>
          <w:color w:val="auto"/>
          <w:kern w:val="0"/>
          <w:sz w:val="32"/>
          <w:szCs w:val="32"/>
          <w:highlight w:val="none"/>
          <w:u w:val="none"/>
        </w:rPr>
        <w:t>体现在有关支出科目中</w:t>
      </w:r>
      <w:r>
        <w:rPr>
          <w:rFonts w:hint="eastAsia" w:ascii="仿宋_GB2312" w:hAnsi="仿宋_GB2312" w:eastAsia="仿宋_GB2312" w:cs="仿宋_GB2312"/>
          <w:b w:val="0"/>
          <w:bCs/>
          <w:color w:val="auto"/>
          <w:kern w:val="0"/>
          <w:sz w:val="32"/>
          <w:szCs w:val="32"/>
          <w:highlight w:val="none"/>
          <w:u w:val="none"/>
          <w:lang w:eastAsia="zh-CN"/>
        </w:rPr>
        <w:t>。</w:t>
      </w:r>
      <w:r>
        <w:rPr>
          <w:rFonts w:hint="eastAsia" w:ascii="仿宋_GB2312"/>
          <w:bCs/>
          <w:kern w:val="44"/>
          <w:sz w:val="32"/>
          <w:szCs w:val="32"/>
          <w:highlight w:val="none"/>
          <w:lang w:eastAsia="zh-CN"/>
        </w:rPr>
        <w:t>2025</w:t>
      </w:r>
      <w:r>
        <w:rPr>
          <w:rFonts w:hint="eastAsia" w:ascii="仿宋_GB2312" w:hAnsi="仿宋_GB2312" w:eastAsia="仿宋_GB2312" w:cs="仿宋_GB2312"/>
          <w:bCs/>
          <w:kern w:val="44"/>
          <w:sz w:val="32"/>
          <w:szCs w:val="32"/>
          <w:highlight w:val="none"/>
          <w:lang w:eastAsia="zh-CN"/>
        </w:rPr>
        <w:t>年</w:t>
      </w:r>
      <w:r>
        <w:rPr>
          <w:rFonts w:hint="eastAsia" w:ascii="仿宋_GB2312" w:hAnsi="仿宋_GB2312" w:eastAsia="仿宋_GB2312" w:cs="仿宋_GB2312"/>
          <w:bCs/>
          <w:kern w:val="44"/>
          <w:sz w:val="32"/>
          <w:szCs w:val="32"/>
          <w:highlight w:val="none"/>
        </w:rPr>
        <w:t>度</w:t>
      </w:r>
      <w:r>
        <w:rPr>
          <w:rFonts w:hint="eastAsia" w:ascii="仿宋_GB2312" w:hAnsi="仿宋_GB2312" w:eastAsia="仿宋_GB2312" w:cs="仿宋_GB2312"/>
          <w:bCs/>
          <w:kern w:val="44"/>
          <w:sz w:val="32"/>
          <w:szCs w:val="32"/>
          <w:highlight w:val="none"/>
          <w:lang w:eastAsia="zh-CN"/>
        </w:rPr>
        <w:t>一般公共预算</w:t>
      </w:r>
      <w:r>
        <w:rPr>
          <w:rFonts w:hint="eastAsia" w:ascii="仿宋_GB2312" w:hAnsi="仿宋_GB2312" w:eastAsia="仿宋_GB2312" w:cs="仿宋_GB2312"/>
          <w:bCs/>
          <w:kern w:val="44"/>
          <w:sz w:val="32"/>
          <w:szCs w:val="32"/>
          <w:highlight w:val="none"/>
        </w:rPr>
        <w:t>财政拨</w:t>
      </w:r>
      <w:r>
        <w:rPr>
          <w:rFonts w:hint="eastAsia" w:ascii="仿宋_GB2312" w:eastAsia="仿宋_GB2312"/>
          <w:bCs/>
          <w:kern w:val="44"/>
          <w:sz w:val="32"/>
          <w:szCs w:val="32"/>
          <w:highlight w:val="none"/>
        </w:rPr>
        <w:t>款支出</w:t>
      </w:r>
      <w:r>
        <w:rPr>
          <w:rFonts w:hint="eastAsia" w:ascii="仿宋_GB2312" w:eastAsia="仿宋_GB2312"/>
          <w:bCs/>
          <w:kern w:val="44"/>
          <w:sz w:val="32"/>
          <w:szCs w:val="32"/>
          <w:highlight w:val="none"/>
          <w:lang w:val="en-US" w:eastAsia="zh-CN"/>
        </w:rPr>
        <w:t>141.61</w:t>
      </w:r>
      <w:r>
        <w:rPr>
          <w:rFonts w:hint="eastAsia" w:ascii="仿宋_GB2312" w:eastAsia="仿宋_GB2312"/>
          <w:bCs/>
          <w:kern w:val="44"/>
          <w:sz w:val="32"/>
          <w:szCs w:val="32"/>
          <w:highlight w:val="none"/>
        </w:rPr>
        <w:t>万元，占本年支出合计的</w:t>
      </w:r>
      <w:r>
        <w:rPr>
          <w:rFonts w:hint="eastAsia" w:ascii="仿宋_GB2312" w:eastAsia="仿宋_GB2312"/>
          <w:bCs/>
          <w:kern w:val="44"/>
          <w:sz w:val="32"/>
          <w:szCs w:val="32"/>
          <w:highlight w:val="none"/>
          <w:lang w:val="en-US" w:eastAsia="zh-CN"/>
        </w:rPr>
        <w:t>91.4</w:t>
      </w:r>
      <w:r>
        <w:rPr>
          <w:rFonts w:hint="eastAsia" w:ascii="仿宋_GB2312" w:eastAsia="仿宋_GB2312"/>
          <w:bCs/>
          <w:kern w:val="44"/>
          <w:sz w:val="32"/>
          <w:szCs w:val="32"/>
          <w:highlight w:val="none"/>
        </w:rPr>
        <w:t xml:space="preserve"> %。</w:t>
      </w:r>
      <w:r>
        <w:rPr>
          <w:rFonts w:hint="eastAsia" w:ascii="仿宋_GB2312" w:hAnsi="仿宋_GB2312" w:eastAsia="仿宋_GB2312" w:cs="仿宋_GB2312"/>
          <w:bCs/>
          <w:kern w:val="44"/>
          <w:sz w:val="32"/>
          <w:szCs w:val="32"/>
          <w:highlight w:val="none"/>
          <w:u w:val="none"/>
        </w:rPr>
        <w:t>与</w:t>
      </w:r>
      <w:r>
        <w:rPr>
          <w:rFonts w:hint="eastAsia" w:ascii="仿宋_GB2312" w:hAnsi="仿宋_GB2312" w:eastAsia="仿宋_GB2312" w:cs="仿宋_GB2312"/>
          <w:bCs/>
          <w:kern w:val="44"/>
          <w:sz w:val="32"/>
          <w:szCs w:val="32"/>
          <w:highlight w:val="none"/>
          <w:u w:val="none"/>
          <w:lang w:eastAsia="zh-CN"/>
        </w:rPr>
        <w:t>202</w:t>
      </w:r>
      <w:r>
        <w:rPr>
          <w:rFonts w:hint="eastAsia" w:ascii="仿宋_GB2312" w:hAnsi="仿宋_GB2312" w:eastAsia="仿宋_GB2312" w:cs="仿宋_GB2312"/>
          <w:bCs/>
          <w:kern w:val="44"/>
          <w:sz w:val="32"/>
          <w:szCs w:val="32"/>
          <w:highlight w:val="none"/>
          <w:u w:val="none"/>
          <w:lang w:val="en-US" w:eastAsia="zh-CN"/>
        </w:rPr>
        <w:t>4</w:t>
      </w:r>
      <w:r>
        <w:rPr>
          <w:rFonts w:hint="eastAsia" w:ascii="仿宋_GB2312" w:hAnsi="仿宋_GB2312" w:eastAsia="仿宋_GB2312" w:cs="仿宋_GB2312"/>
          <w:bCs/>
          <w:kern w:val="44"/>
          <w:sz w:val="32"/>
          <w:szCs w:val="32"/>
          <w:highlight w:val="none"/>
          <w:u w:val="none"/>
          <w:lang w:eastAsia="zh-CN"/>
        </w:rPr>
        <w:t>年度</w:t>
      </w:r>
      <w:r>
        <w:rPr>
          <w:rFonts w:hint="eastAsia" w:ascii="仿宋_GB2312" w:hAnsi="仿宋_GB2312" w:eastAsia="仿宋_GB2312" w:cs="仿宋_GB2312"/>
          <w:bCs/>
          <w:kern w:val="44"/>
          <w:sz w:val="32"/>
          <w:szCs w:val="32"/>
          <w:highlight w:val="none"/>
          <w:u w:val="none"/>
        </w:rPr>
        <w:t>相比</w:t>
      </w:r>
      <w:r>
        <w:rPr>
          <w:rFonts w:hint="eastAsia" w:ascii="仿宋_GB2312" w:hAnsi="仿宋_GB2312" w:eastAsia="仿宋_GB2312" w:cs="仿宋_GB2312"/>
          <w:bCs/>
          <w:kern w:val="44"/>
          <w:sz w:val="32"/>
          <w:szCs w:val="32"/>
          <w:highlight w:val="none"/>
          <w:u w:val="none"/>
          <w:lang w:eastAsia="zh-CN"/>
        </w:rPr>
        <w:t>，一般公共预算</w:t>
      </w:r>
      <w:r>
        <w:rPr>
          <w:rFonts w:hint="eastAsia" w:ascii="仿宋_GB2312" w:hAnsi="仿宋_GB2312" w:eastAsia="仿宋_GB2312" w:cs="仿宋_GB2312"/>
          <w:bCs/>
          <w:kern w:val="44"/>
          <w:sz w:val="32"/>
          <w:szCs w:val="32"/>
          <w:highlight w:val="none"/>
          <w:u w:val="none"/>
        </w:rPr>
        <w:t>财政拨款支出</w:t>
      </w:r>
      <w:r>
        <w:rPr>
          <w:rFonts w:hint="eastAsia" w:ascii="仿宋_GB2312" w:hAnsi="仿宋_GB2312" w:eastAsia="仿宋_GB2312" w:cs="仿宋_GB2312"/>
          <w:bCs/>
          <w:kern w:val="44"/>
          <w:sz w:val="32"/>
          <w:szCs w:val="32"/>
          <w:highlight w:val="none"/>
          <w:u w:val="none"/>
          <w:lang w:eastAsia="zh-CN"/>
        </w:rPr>
        <w:t>减少</w:t>
      </w:r>
      <w:r>
        <w:rPr>
          <w:rFonts w:hint="eastAsia" w:ascii="仿宋_GB2312" w:hAnsi="仿宋_GB2312" w:eastAsia="仿宋_GB2312" w:cs="仿宋_GB2312"/>
          <w:bCs/>
          <w:kern w:val="44"/>
          <w:sz w:val="32"/>
          <w:szCs w:val="32"/>
          <w:highlight w:val="none"/>
          <w:u w:val="none"/>
          <w:lang w:val="en-US" w:eastAsia="zh-CN"/>
        </w:rPr>
        <w:t>9.21</w:t>
      </w:r>
      <w:r>
        <w:rPr>
          <w:rFonts w:hint="eastAsia" w:ascii="仿宋_GB2312" w:hAnsi="仿宋_GB2312" w:eastAsia="仿宋_GB2312" w:cs="仿宋_GB2312"/>
          <w:bCs/>
          <w:kern w:val="44"/>
          <w:sz w:val="32"/>
          <w:szCs w:val="32"/>
          <w:highlight w:val="none"/>
          <w:u w:val="none"/>
        </w:rPr>
        <w:t>万元</w:t>
      </w:r>
      <w:r>
        <w:rPr>
          <w:rFonts w:hint="eastAsia" w:ascii="仿宋_GB2312" w:hAnsi="仿宋_GB2312" w:eastAsia="仿宋_GB2312" w:cs="仿宋_GB2312"/>
          <w:bCs/>
          <w:kern w:val="44"/>
          <w:sz w:val="32"/>
          <w:szCs w:val="32"/>
          <w:highlight w:val="none"/>
          <w:u w:val="none"/>
          <w:lang w:eastAsia="zh-CN"/>
        </w:rPr>
        <w:t>，减少</w:t>
      </w:r>
      <w:r>
        <w:rPr>
          <w:rFonts w:hint="eastAsia" w:ascii="仿宋_GB2312" w:hAnsi="仿宋_GB2312" w:eastAsia="仿宋_GB2312" w:cs="仿宋_GB2312"/>
          <w:bCs/>
          <w:kern w:val="44"/>
          <w:sz w:val="32"/>
          <w:szCs w:val="32"/>
          <w:highlight w:val="none"/>
          <w:u w:val="none"/>
          <w:lang w:val="en-US" w:eastAsia="zh-CN"/>
        </w:rPr>
        <w:t>6.1</w:t>
      </w:r>
      <w:r>
        <w:rPr>
          <w:rFonts w:hint="eastAsia" w:ascii="仿宋_GB2312" w:hAnsi="仿宋_GB2312" w:eastAsia="仿宋_GB2312" w:cs="仿宋_GB2312"/>
          <w:bCs/>
          <w:kern w:val="44"/>
          <w:sz w:val="32"/>
          <w:szCs w:val="32"/>
          <w:highlight w:val="none"/>
          <w:u w:val="none"/>
        </w:rPr>
        <w:t>%。</w:t>
      </w:r>
      <w:r>
        <w:rPr>
          <w:rFonts w:hint="eastAsia" w:ascii="仿宋_GB2312" w:hAnsi="仿宋_GB2312" w:eastAsia="仿宋_GB2312" w:cs="仿宋_GB2312"/>
          <w:bCs/>
          <w:kern w:val="44"/>
          <w:sz w:val="32"/>
          <w:szCs w:val="32"/>
          <w:highlight w:val="none"/>
          <w:u w:val="none"/>
          <w:lang w:val="en-US" w:eastAsia="zh-CN"/>
        </w:rPr>
        <w:t>减少主要原因是</w:t>
      </w:r>
      <w:r>
        <w:rPr>
          <w:rFonts w:hint="eastAsia" w:ascii="仿宋_GB2312" w:hAnsi="宋体" w:eastAsia="仿宋_GB2312"/>
          <w:bCs/>
          <w:sz w:val="32"/>
          <w:szCs w:val="32"/>
          <w:highlight w:val="none"/>
          <w:lang w:val="en-US" w:eastAsia="zh-CN"/>
        </w:rPr>
        <w:t>人员调动和项目经费减少</w:t>
      </w:r>
      <w:r>
        <w:rPr>
          <w:rFonts w:hint="eastAsia" w:ascii="仿宋_GB2312" w:hAnsi="仿宋_GB2312" w:eastAsia="仿宋_GB2312" w:cs="仿宋_GB2312"/>
          <w:bCs/>
          <w:kern w:val="44"/>
          <w:sz w:val="32"/>
          <w:szCs w:val="32"/>
          <w:highlight w:val="none"/>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bCs/>
          <w:kern w:val="44"/>
          <w:sz w:val="32"/>
          <w:szCs w:val="32"/>
          <w:highlight w:val="none"/>
        </w:rPr>
      </w:pPr>
      <w:r>
        <w:rPr>
          <w:rFonts w:hint="eastAsia" w:ascii="楷体_GB2312" w:hAnsi="楷体_GB2312" w:eastAsia="楷体_GB2312" w:cs="楷体_GB2312"/>
          <w:bCs/>
          <w:kern w:val="44"/>
          <w:sz w:val="32"/>
          <w:szCs w:val="32"/>
          <w:highlight w:val="none"/>
          <w:lang w:eastAsia="zh-CN"/>
        </w:rPr>
        <w:t>（二）一般公共预算</w:t>
      </w:r>
      <w:r>
        <w:rPr>
          <w:rFonts w:hint="eastAsia" w:ascii="楷体_GB2312" w:hAnsi="楷体_GB2312" w:eastAsia="楷体_GB2312" w:cs="楷体_GB2312"/>
          <w:bCs/>
          <w:kern w:val="44"/>
          <w:sz w:val="32"/>
          <w:szCs w:val="32"/>
          <w:highlight w:val="none"/>
        </w:rPr>
        <w:t>财政拨款支出决算结构情况。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auto"/>
          <w:kern w:val="44"/>
          <w:sz w:val="32"/>
          <w:szCs w:val="32"/>
          <w:highlight w:val="none"/>
          <w:lang w:val="en-US" w:eastAsia="zh-CN"/>
        </w:rPr>
      </w:pPr>
      <w:r>
        <w:rPr>
          <w:rFonts w:hint="eastAsia" w:ascii="仿宋_GB2312" w:hAnsi="仿宋_GB2312" w:eastAsia="仿宋_GB2312" w:cs="仿宋_GB2312"/>
          <w:bCs/>
          <w:color w:val="auto"/>
          <w:kern w:val="44"/>
          <w:sz w:val="32"/>
          <w:szCs w:val="32"/>
          <w:highlight w:val="none"/>
          <w:lang w:eastAsia="zh-CN"/>
        </w:rPr>
        <w:t>2025年</w:t>
      </w:r>
      <w:r>
        <w:rPr>
          <w:rFonts w:hint="eastAsia" w:ascii="仿宋_GB2312" w:hAnsi="仿宋_GB2312" w:eastAsia="仿宋_GB2312" w:cs="仿宋_GB2312"/>
          <w:bCs/>
          <w:color w:val="auto"/>
          <w:kern w:val="44"/>
          <w:sz w:val="32"/>
          <w:szCs w:val="32"/>
          <w:highlight w:val="none"/>
        </w:rPr>
        <w:t>度</w:t>
      </w:r>
      <w:r>
        <w:rPr>
          <w:rFonts w:hint="eastAsia" w:ascii="仿宋_GB2312" w:hAnsi="仿宋_GB2312" w:eastAsia="仿宋_GB2312" w:cs="仿宋_GB2312"/>
          <w:bCs/>
          <w:color w:val="auto"/>
          <w:kern w:val="44"/>
          <w:sz w:val="32"/>
          <w:szCs w:val="32"/>
          <w:highlight w:val="none"/>
          <w:lang w:eastAsia="zh-CN"/>
        </w:rPr>
        <w:t>一般公共预算</w:t>
      </w:r>
      <w:r>
        <w:rPr>
          <w:rFonts w:hint="eastAsia" w:ascii="仿宋_GB2312" w:hAnsi="仿宋_GB2312" w:eastAsia="仿宋_GB2312" w:cs="仿宋_GB2312"/>
          <w:bCs/>
          <w:color w:val="auto"/>
          <w:kern w:val="44"/>
          <w:sz w:val="32"/>
          <w:szCs w:val="32"/>
          <w:highlight w:val="none"/>
        </w:rPr>
        <w:t>财政拨款支出</w:t>
      </w:r>
      <w:r>
        <w:rPr>
          <w:rFonts w:hint="eastAsia" w:ascii="仿宋_GB2312" w:hAnsi="仿宋_GB2312" w:eastAsia="仿宋_GB2312" w:cs="仿宋_GB2312"/>
          <w:bCs/>
          <w:kern w:val="44"/>
          <w:sz w:val="32"/>
          <w:szCs w:val="32"/>
          <w:highlight w:val="none"/>
          <w:lang w:val="en-US" w:eastAsia="zh-CN"/>
        </w:rPr>
        <w:t>141.61</w:t>
      </w:r>
      <w:r>
        <w:rPr>
          <w:rFonts w:hint="eastAsia" w:ascii="仿宋_GB2312" w:hAnsi="仿宋_GB2312" w:eastAsia="仿宋_GB2312" w:cs="仿宋_GB2312"/>
          <w:bCs/>
          <w:color w:val="auto"/>
          <w:kern w:val="44"/>
          <w:sz w:val="32"/>
          <w:szCs w:val="32"/>
          <w:highlight w:val="none"/>
        </w:rPr>
        <w:t>万元，主要用于以下方面：社会保障和就业支出133.76</w:t>
      </w:r>
      <w:r>
        <w:rPr>
          <w:rFonts w:hint="eastAsia" w:ascii="仿宋_GB2312" w:hAnsi="仿宋_GB2312" w:eastAsia="仿宋_GB2312" w:cs="仿宋_GB2312"/>
          <w:bCs/>
          <w:color w:val="auto"/>
          <w:kern w:val="44"/>
          <w:sz w:val="32"/>
          <w:szCs w:val="32"/>
          <w:highlight w:val="none"/>
          <w:lang w:val="en-US" w:eastAsia="zh-CN"/>
        </w:rPr>
        <w:t>万元，资源勘探工业信息等支出1.46万元，住房保障支出6.38万元。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楷体_GB2312" w:hAnsi="楷体_GB2312" w:eastAsia="楷体_GB2312" w:cs="楷体_GB2312"/>
          <w:bCs/>
          <w:color w:val="auto"/>
          <w:kern w:val="44"/>
          <w:sz w:val="32"/>
          <w:szCs w:val="32"/>
          <w:highlight w:val="none"/>
          <w:lang w:eastAsia="zh-CN"/>
        </w:rPr>
      </w:pPr>
      <w:r>
        <w:rPr>
          <w:rFonts w:hint="eastAsia" w:ascii="楷体_GB2312" w:hAnsi="楷体_GB2312" w:eastAsia="楷体_GB2312" w:cs="楷体_GB2312"/>
          <w:bCs/>
          <w:color w:val="auto"/>
          <w:kern w:val="44"/>
          <w:sz w:val="32"/>
          <w:szCs w:val="32"/>
          <w:highlight w:val="none"/>
          <w:lang w:eastAsia="zh-CN"/>
        </w:rPr>
        <w:t>（三）一般公共预算财政拨款支出决算具体情况。</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auto"/>
          <w:kern w:val="44"/>
          <w:sz w:val="32"/>
          <w:szCs w:val="32"/>
          <w:highlight w:val="none"/>
          <w:lang w:eastAsia="zh-CN"/>
        </w:rPr>
      </w:pPr>
      <w:r>
        <w:rPr>
          <w:rFonts w:hint="eastAsia" w:ascii="仿宋_GB2312" w:hAnsi="仿宋_GB2312" w:eastAsia="仿宋_GB2312" w:cs="仿宋_GB2312"/>
          <w:bCs/>
          <w:color w:val="auto"/>
          <w:kern w:val="44"/>
          <w:sz w:val="32"/>
          <w:szCs w:val="32"/>
          <w:highlight w:val="none"/>
          <w:lang w:eastAsia="zh-CN"/>
        </w:rPr>
        <w:t>202</w:t>
      </w:r>
      <w:r>
        <w:rPr>
          <w:rFonts w:hint="eastAsia" w:ascii="仿宋_GB2312" w:hAnsi="仿宋_GB2312" w:eastAsia="仿宋_GB2312" w:cs="仿宋_GB2312"/>
          <w:bCs/>
          <w:color w:val="auto"/>
          <w:kern w:val="44"/>
          <w:sz w:val="32"/>
          <w:szCs w:val="32"/>
          <w:highlight w:val="none"/>
          <w:lang w:val="en-US" w:eastAsia="zh-CN"/>
        </w:rPr>
        <w:t>5</w:t>
      </w:r>
      <w:r>
        <w:rPr>
          <w:rFonts w:hint="eastAsia" w:ascii="仿宋_GB2312" w:hAnsi="仿宋_GB2312" w:eastAsia="仿宋_GB2312" w:cs="仿宋_GB2312"/>
          <w:bCs/>
          <w:color w:val="auto"/>
          <w:kern w:val="44"/>
          <w:sz w:val="32"/>
          <w:szCs w:val="32"/>
          <w:highlight w:val="none"/>
          <w:lang w:eastAsia="zh-CN"/>
        </w:rPr>
        <w:t>年度一般公共预算财政拨款支出年初预算为</w:t>
      </w:r>
      <w:r>
        <w:rPr>
          <w:rFonts w:hint="eastAsia" w:ascii="仿宋_GB2312" w:hAnsi="仿宋_GB2312" w:eastAsia="仿宋_GB2312" w:cs="仿宋_GB2312"/>
          <w:bCs/>
          <w:color w:val="auto"/>
          <w:kern w:val="44"/>
          <w:sz w:val="32"/>
          <w:szCs w:val="32"/>
          <w:highlight w:val="none"/>
          <w:lang w:val="en-US" w:eastAsia="zh-CN"/>
        </w:rPr>
        <w:t>126.56</w:t>
      </w:r>
      <w:r>
        <w:rPr>
          <w:rFonts w:hint="eastAsia" w:ascii="仿宋_GB2312" w:hAnsi="仿宋_GB2312" w:eastAsia="仿宋_GB2312" w:cs="仿宋_GB2312"/>
          <w:bCs/>
          <w:color w:val="auto"/>
          <w:kern w:val="44"/>
          <w:sz w:val="32"/>
          <w:szCs w:val="32"/>
          <w:highlight w:val="none"/>
          <w:lang w:eastAsia="zh-CN"/>
        </w:rPr>
        <w:t>万元，支出决算为</w:t>
      </w:r>
      <w:r>
        <w:rPr>
          <w:rFonts w:hint="eastAsia" w:ascii="仿宋_GB2312" w:hAnsi="仿宋_GB2312" w:eastAsia="仿宋_GB2312" w:cs="仿宋_GB2312"/>
          <w:bCs/>
          <w:color w:val="auto"/>
          <w:kern w:val="44"/>
          <w:sz w:val="32"/>
          <w:szCs w:val="32"/>
          <w:highlight w:val="none"/>
          <w:lang w:val="en-US" w:eastAsia="zh-CN"/>
        </w:rPr>
        <w:t>141.61</w:t>
      </w:r>
      <w:r>
        <w:rPr>
          <w:rFonts w:hint="eastAsia" w:ascii="仿宋_GB2312" w:hAnsi="仿宋_GB2312" w:eastAsia="仿宋_GB2312" w:cs="仿宋_GB2312"/>
          <w:bCs/>
          <w:color w:val="auto"/>
          <w:kern w:val="44"/>
          <w:sz w:val="32"/>
          <w:szCs w:val="32"/>
          <w:highlight w:val="none"/>
          <w:lang w:eastAsia="zh-CN"/>
        </w:rPr>
        <w:t>万元，完成年初预算的</w:t>
      </w:r>
      <w:bookmarkStart w:id="1" w:name="OLE_LINK2"/>
      <w:r>
        <w:rPr>
          <w:rFonts w:hint="eastAsia" w:ascii="仿宋_GB2312" w:hAnsi="仿宋_GB2312" w:eastAsia="仿宋_GB2312" w:cs="仿宋_GB2312"/>
          <w:bCs/>
          <w:color w:val="auto"/>
          <w:kern w:val="44"/>
          <w:sz w:val="32"/>
          <w:szCs w:val="32"/>
          <w:highlight w:val="none"/>
          <w:lang w:val="en-US" w:eastAsia="zh-CN"/>
        </w:rPr>
        <w:t>111.9</w:t>
      </w:r>
      <w:r>
        <w:rPr>
          <w:rFonts w:hint="eastAsia" w:ascii="仿宋_GB2312" w:hAnsi="仿宋_GB2312" w:eastAsia="仿宋_GB2312" w:cs="仿宋_GB2312"/>
          <w:bCs/>
          <w:color w:val="auto"/>
          <w:kern w:val="44"/>
          <w:sz w:val="32"/>
          <w:szCs w:val="32"/>
          <w:highlight w:val="none"/>
          <w:lang w:eastAsia="zh-CN"/>
        </w:rPr>
        <w:t>%</w:t>
      </w:r>
      <w:bookmarkEnd w:id="1"/>
      <w:r>
        <w:rPr>
          <w:rFonts w:hint="eastAsia" w:ascii="仿宋_GB2312" w:hAnsi="仿宋_GB2312" w:eastAsia="仿宋_GB2312" w:cs="仿宋_GB2312"/>
          <w:bCs/>
          <w:color w:val="auto"/>
          <w:kern w:val="44"/>
          <w:sz w:val="32"/>
          <w:szCs w:val="32"/>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auto"/>
          <w:kern w:val="44"/>
          <w:sz w:val="32"/>
          <w:szCs w:val="32"/>
          <w:highlight w:val="none"/>
          <w:lang w:val="en-US" w:eastAsia="zh-CN"/>
        </w:rPr>
      </w:pPr>
      <w:r>
        <w:rPr>
          <w:rFonts w:hint="eastAsia" w:ascii="仿宋_GB2312" w:hAnsi="仿宋_GB2312" w:eastAsia="仿宋_GB2312" w:cs="仿宋_GB2312"/>
          <w:bCs/>
          <w:color w:val="auto"/>
          <w:kern w:val="44"/>
          <w:sz w:val="32"/>
          <w:szCs w:val="32"/>
          <w:highlight w:val="none"/>
          <w:lang w:val="en-US" w:eastAsia="zh-CN"/>
        </w:rPr>
        <w:t>1、</w:t>
      </w:r>
      <w:r>
        <w:rPr>
          <w:rFonts w:hint="eastAsia" w:ascii="仿宋_GB2312" w:hAnsi="仿宋_GB2312" w:eastAsia="仿宋_GB2312" w:cs="仿宋_GB2312"/>
          <w:bCs/>
          <w:color w:val="auto"/>
          <w:kern w:val="44"/>
          <w:sz w:val="32"/>
          <w:szCs w:val="32"/>
          <w:highlight w:val="none"/>
          <w:lang w:eastAsia="zh-CN"/>
        </w:rPr>
        <w:t>一般公共服务支出（20</w:t>
      </w:r>
      <w:r>
        <w:rPr>
          <w:rFonts w:hint="eastAsia" w:ascii="仿宋_GB2312" w:hAnsi="仿宋_GB2312" w:eastAsia="仿宋_GB2312" w:cs="仿宋_GB2312"/>
          <w:bCs/>
          <w:color w:val="auto"/>
          <w:kern w:val="44"/>
          <w:sz w:val="32"/>
          <w:szCs w:val="32"/>
          <w:highlight w:val="none"/>
          <w:lang w:val="en-US" w:eastAsia="zh-CN"/>
        </w:rPr>
        <w:t>8</w:t>
      </w:r>
      <w:r>
        <w:rPr>
          <w:rFonts w:hint="eastAsia" w:ascii="仿宋_GB2312" w:hAnsi="仿宋_GB2312" w:eastAsia="仿宋_GB2312" w:cs="仿宋_GB2312"/>
          <w:bCs/>
          <w:color w:val="auto"/>
          <w:kern w:val="44"/>
          <w:sz w:val="32"/>
          <w:szCs w:val="32"/>
          <w:highlight w:val="none"/>
          <w:lang w:eastAsia="zh-CN"/>
        </w:rPr>
        <w:t>类）</w:t>
      </w:r>
      <w:r>
        <w:rPr>
          <w:rFonts w:hint="eastAsia" w:ascii="仿宋_GB2312" w:hAnsi="仿宋_GB2312" w:eastAsia="仿宋_GB2312" w:cs="仿宋_GB2312"/>
          <w:bCs/>
          <w:color w:val="auto"/>
          <w:kern w:val="44"/>
          <w:sz w:val="32"/>
          <w:szCs w:val="32"/>
          <w:highlight w:val="none"/>
          <w:lang w:val="en-US" w:eastAsia="zh-CN"/>
        </w:rPr>
        <w:t>红十字事业</w:t>
      </w:r>
      <w:r>
        <w:rPr>
          <w:rFonts w:hint="eastAsia" w:ascii="仿宋_GB2312" w:hAnsi="仿宋_GB2312" w:eastAsia="仿宋_GB2312" w:cs="仿宋_GB2312"/>
          <w:bCs/>
          <w:color w:val="auto"/>
          <w:kern w:val="44"/>
          <w:sz w:val="32"/>
          <w:szCs w:val="32"/>
          <w:highlight w:val="none"/>
          <w:lang w:eastAsia="zh-CN"/>
        </w:rPr>
        <w:t>（20</w:t>
      </w:r>
      <w:r>
        <w:rPr>
          <w:rFonts w:hint="eastAsia" w:ascii="仿宋_GB2312" w:hAnsi="仿宋_GB2312" w:eastAsia="仿宋_GB2312" w:cs="仿宋_GB2312"/>
          <w:bCs/>
          <w:color w:val="auto"/>
          <w:kern w:val="44"/>
          <w:sz w:val="32"/>
          <w:szCs w:val="32"/>
          <w:highlight w:val="none"/>
          <w:lang w:val="en-US" w:eastAsia="zh-CN"/>
        </w:rPr>
        <w:t>816</w:t>
      </w:r>
      <w:r>
        <w:rPr>
          <w:rFonts w:hint="eastAsia" w:ascii="仿宋_GB2312" w:hAnsi="仿宋_GB2312" w:eastAsia="仿宋_GB2312" w:cs="仿宋_GB2312"/>
          <w:bCs/>
          <w:color w:val="auto"/>
          <w:kern w:val="44"/>
          <w:sz w:val="32"/>
          <w:szCs w:val="32"/>
          <w:highlight w:val="none"/>
          <w:lang w:eastAsia="zh-CN"/>
        </w:rPr>
        <w:t>款）行政运行（20</w:t>
      </w:r>
      <w:r>
        <w:rPr>
          <w:rFonts w:hint="eastAsia" w:ascii="仿宋_GB2312" w:hAnsi="仿宋_GB2312" w:eastAsia="仿宋_GB2312" w:cs="仿宋_GB2312"/>
          <w:bCs/>
          <w:color w:val="auto"/>
          <w:kern w:val="44"/>
          <w:sz w:val="32"/>
          <w:szCs w:val="32"/>
          <w:highlight w:val="none"/>
          <w:lang w:val="en-US" w:eastAsia="zh-CN"/>
        </w:rPr>
        <w:t>81601</w:t>
      </w:r>
      <w:r>
        <w:rPr>
          <w:rFonts w:hint="eastAsia" w:ascii="仿宋_GB2312" w:hAnsi="仿宋_GB2312" w:eastAsia="仿宋_GB2312" w:cs="仿宋_GB2312"/>
          <w:bCs/>
          <w:color w:val="auto"/>
          <w:kern w:val="44"/>
          <w:sz w:val="32"/>
          <w:szCs w:val="32"/>
          <w:highlight w:val="none"/>
          <w:lang w:eastAsia="zh-CN"/>
        </w:rPr>
        <w:t>项）。2025年一般公共预算支出预算数为</w:t>
      </w:r>
      <w:r>
        <w:rPr>
          <w:rFonts w:hint="eastAsia" w:ascii="仿宋_GB2312" w:hAnsi="仿宋_GB2312" w:eastAsia="仿宋_GB2312" w:cs="仿宋_GB2312"/>
          <w:bCs/>
          <w:color w:val="auto"/>
          <w:kern w:val="44"/>
          <w:sz w:val="32"/>
          <w:szCs w:val="32"/>
          <w:highlight w:val="none"/>
          <w:lang w:val="en-US" w:eastAsia="zh-CN"/>
        </w:rPr>
        <w:t>73.45</w:t>
      </w:r>
      <w:r>
        <w:rPr>
          <w:rFonts w:hint="eastAsia" w:ascii="仿宋_GB2312" w:hAnsi="仿宋_GB2312" w:eastAsia="仿宋_GB2312" w:cs="仿宋_GB2312"/>
          <w:bCs/>
          <w:color w:val="auto"/>
          <w:kern w:val="44"/>
          <w:sz w:val="32"/>
          <w:szCs w:val="32"/>
          <w:highlight w:val="none"/>
          <w:lang w:eastAsia="zh-CN"/>
        </w:rPr>
        <w:t>万元。</w:t>
      </w:r>
      <w:r>
        <w:rPr>
          <w:rFonts w:hint="eastAsia" w:ascii="仿宋_GB2312" w:hAnsi="仿宋_GB2312" w:eastAsia="仿宋_GB2312" w:cs="仿宋_GB2312"/>
          <w:bCs/>
          <w:color w:val="auto"/>
          <w:kern w:val="44"/>
          <w:sz w:val="32"/>
          <w:szCs w:val="32"/>
          <w:highlight w:val="none"/>
          <w:lang w:val="en-US" w:eastAsia="zh-CN"/>
        </w:rPr>
        <w:t>支出决算为82.31万元，完成年初预算的112%，主要原因是招录新进公务员。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Cs/>
          <w:color w:val="auto"/>
          <w:kern w:val="44"/>
          <w:sz w:val="32"/>
          <w:szCs w:val="32"/>
          <w:highlight w:val="none"/>
          <w:lang w:val="en-US" w:eastAsia="zh-CN"/>
        </w:rPr>
      </w:pPr>
      <w:r>
        <w:rPr>
          <w:rFonts w:hint="eastAsia" w:ascii="仿宋_GB2312" w:hAnsi="仿宋_GB2312" w:eastAsia="仿宋_GB2312" w:cs="仿宋_GB2312"/>
          <w:bCs/>
          <w:color w:val="auto"/>
          <w:kern w:val="44"/>
          <w:sz w:val="32"/>
          <w:szCs w:val="32"/>
          <w:highlight w:val="none"/>
          <w:lang w:val="en-US" w:eastAsia="zh-CN"/>
        </w:rPr>
        <w:t>2、</w:t>
      </w:r>
      <w:r>
        <w:rPr>
          <w:rFonts w:hint="eastAsia" w:ascii="仿宋_GB2312" w:hAnsi="仿宋_GB2312" w:eastAsia="仿宋_GB2312" w:cs="仿宋_GB2312"/>
          <w:bCs/>
          <w:color w:val="auto"/>
          <w:kern w:val="44"/>
          <w:sz w:val="32"/>
          <w:szCs w:val="32"/>
          <w:highlight w:val="none"/>
          <w:lang w:eastAsia="zh-CN"/>
        </w:rPr>
        <w:t>一般公共服务支出（20</w:t>
      </w:r>
      <w:r>
        <w:rPr>
          <w:rFonts w:hint="eastAsia" w:ascii="仿宋_GB2312" w:hAnsi="仿宋_GB2312" w:eastAsia="仿宋_GB2312" w:cs="仿宋_GB2312"/>
          <w:bCs/>
          <w:color w:val="auto"/>
          <w:kern w:val="44"/>
          <w:sz w:val="32"/>
          <w:szCs w:val="32"/>
          <w:highlight w:val="none"/>
          <w:lang w:val="en-US" w:eastAsia="zh-CN"/>
        </w:rPr>
        <w:t>8</w:t>
      </w:r>
      <w:r>
        <w:rPr>
          <w:rFonts w:hint="eastAsia" w:ascii="仿宋_GB2312" w:hAnsi="仿宋_GB2312" w:eastAsia="仿宋_GB2312" w:cs="仿宋_GB2312"/>
          <w:bCs/>
          <w:color w:val="auto"/>
          <w:kern w:val="44"/>
          <w:sz w:val="32"/>
          <w:szCs w:val="32"/>
          <w:highlight w:val="none"/>
          <w:lang w:eastAsia="zh-CN"/>
        </w:rPr>
        <w:t>类）</w:t>
      </w:r>
      <w:r>
        <w:rPr>
          <w:rFonts w:hint="eastAsia" w:ascii="仿宋_GB2312" w:hAnsi="仿宋_GB2312" w:eastAsia="仿宋_GB2312" w:cs="仿宋_GB2312"/>
          <w:bCs/>
          <w:color w:val="auto"/>
          <w:kern w:val="44"/>
          <w:sz w:val="32"/>
          <w:szCs w:val="32"/>
          <w:highlight w:val="none"/>
          <w:lang w:val="en-US" w:eastAsia="zh-CN"/>
        </w:rPr>
        <w:t>红十字事业</w:t>
      </w:r>
      <w:r>
        <w:rPr>
          <w:rFonts w:hint="eastAsia" w:ascii="仿宋_GB2312" w:hAnsi="仿宋_GB2312" w:eastAsia="仿宋_GB2312" w:cs="仿宋_GB2312"/>
          <w:bCs/>
          <w:color w:val="auto"/>
          <w:kern w:val="44"/>
          <w:sz w:val="32"/>
          <w:szCs w:val="32"/>
          <w:highlight w:val="none"/>
          <w:lang w:eastAsia="zh-CN"/>
        </w:rPr>
        <w:t>（20</w:t>
      </w:r>
      <w:r>
        <w:rPr>
          <w:rFonts w:hint="eastAsia" w:ascii="仿宋_GB2312" w:hAnsi="仿宋_GB2312" w:eastAsia="仿宋_GB2312" w:cs="仿宋_GB2312"/>
          <w:bCs/>
          <w:color w:val="auto"/>
          <w:kern w:val="44"/>
          <w:sz w:val="32"/>
          <w:szCs w:val="32"/>
          <w:highlight w:val="none"/>
          <w:lang w:val="en-US" w:eastAsia="zh-CN"/>
        </w:rPr>
        <w:t>816</w:t>
      </w:r>
      <w:r>
        <w:rPr>
          <w:rFonts w:hint="eastAsia" w:ascii="仿宋_GB2312" w:hAnsi="仿宋_GB2312" w:eastAsia="仿宋_GB2312" w:cs="仿宋_GB2312"/>
          <w:bCs/>
          <w:color w:val="auto"/>
          <w:kern w:val="44"/>
          <w:sz w:val="32"/>
          <w:szCs w:val="32"/>
          <w:highlight w:val="none"/>
          <w:lang w:eastAsia="zh-CN"/>
        </w:rPr>
        <w:t>款）</w:t>
      </w:r>
      <w:r>
        <w:rPr>
          <w:rFonts w:hint="eastAsia" w:ascii="仿宋_GB2312" w:hAnsi="仿宋_GB2312" w:eastAsia="仿宋_GB2312" w:cs="仿宋_GB2312"/>
          <w:bCs/>
          <w:color w:val="auto"/>
          <w:kern w:val="44"/>
          <w:sz w:val="32"/>
          <w:szCs w:val="32"/>
          <w:highlight w:val="none"/>
          <w:lang w:val="en-US" w:eastAsia="zh-CN"/>
        </w:rPr>
        <w:t>其他红十字事业</w:t>
      </w:r>
      <w:r>
        <w:rPr>
          <w:rFonts w:hint="eastAsia" w:ascii="仿宋_GB2312" w:hAnsi="仿宋_GB2312" w:eastAsia="仿宋_GB2312" w:cs="仿宋_GB2312"/>
          <w:bCs/>
          <w:color w:val="auto"/>
          <w:kern w:val="44"/>
          <w:sz w:val="32"/>
          <w:szCs w:val="32"/>
          <w:highlight w:val="none"/>
          <w:lang w:eastAsia="zh-CN"/>
        </w:rPr>
        <w:t>支出（20</w:t>
      </w:r>
      <w:r>
        <w:rPr>
          <w:rFonts w:hint="eastAsia" w:ascii="仿宋_GB2312" w:hAnsi="仿宋_GB2312" w:eastAsia="仿宋_GB2312" w:cs="仿宋_GB2312"/>
          <w:bCs/>
          <w:color w:val="auto"/>
          <w:kern w:val="44"/>
          <w:sz w:val="32"/>
          <w:szCs w:val="32"/>
          <w:highlight w:val="none"/>
          <w:lang w:val="en-US" w:eastAsia="zh-CN"/>
        </w:rPr>
        <w:t>81699</w:t>
      </w:r>
      <w:r>
        <w:rPr>
          <w:rFonts w:hint="eastAsia" w:ascii="仿宋_GB2312" w:hAnsi="仿宋_GB2312" w:eastAsia="仿宋_GB2312" w:cs="仿宋_GB2312"/>
          <w:bCs/>
          <w:color w:val="auto"/>
          <w:kern w:val="44"/>
          <w:sz w:val="32"/>
          <w:szCs w:val="32"/>
          <w:highlight w:val="none"/>
          <w:lang w:eastAsia="zh-CN"/>
        </w:rPr>
        <w:t>项）。2025年一般公共预算支出预算数为</w:t>
      </w:r>
      <w:r>
        <w:rPr>
          <w:rFonts w:hint="eastAsia" w:ascii="仿宋_GB2312" w:hAnsi="仿宋_GB2312" w:eastAsia="仿宋_GB2312" w:cs="仿宋_GB2312"/>
          <w:bCs/>
          <w:color w:val="auto"/>
          <w:kern w:val="44"/>
          <w:sz w:val="32"/>
          <w:szCs w:val="32"/>
          <w:highlight w:val="none"/>
          <w:lang w:val="en-US" w:eastAsia="zh-CN"/>
        </w:rPr>
        <w:t>34.5</w:t>
      </w:r>
      <w:r>
        <w:rPr>
          <w:rFonts w:hint="eastAsia" w:ascii="仿宋_GB2312" w:hAnsi="仿宋_GB2312" w:eastAsia="仿宋_GB2312" w:cs="仿宋_GB2312"/>
          <w:bCs/>
          <w:color w:val="auto"/>
          <w:kern w:val="44"/>
          <w:sz w:val="32"/>
          <w:szCs w:val="32"/>
          <w:highlight w:val="none"/>
          <w:lang w:eastAsia="zh-CN"/>
        </w:rPr>
        <w:t>万元，</w:t>
      </w:r>
      <w:r>
        <w:rPr>
          <w:rFonts w:hint="eastAsia" w:ascii="仿宋_GB2312" w:hAnsi="仿宋_GB2312" w:eastAsia="仿宋_GB2312" w:cs="仿宋_GB2312"/>
          <w:bCs/>
          <w:color w:val="auto"/>
          <w:kern w:val="44"/>
          <w:sz w:val="32"/>
          <w:szCs w:val="32"/>
          <w:highlight w:val="none"/>
          <w:lang w:val="en-US" w:eastAsia="zh-CN"/>
        </w:rPr>
        <w:t>支出决算为39.71万元，完成年初预算的115.1%，主要原因是公益性岗位补贴。</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auto"/>
          <w:kern w:val="44"/>
          <w:sz w:val="32"/>
          <w:szCs w:val="32"/>
          <w:highlight w:val="none"/>
          <w:lang w:val="en-US" w:eastAsia="zh-CN"/>
        </w:rPr>
      </w:pPr>
      <w:r>
        <w:rPr>
          <w:rFonts w:hint="eastAsia" w:ascii="仿宋_GB2312" w:hAnsi="仿宋_GB2312" w:eastAsia="仿宋_GB2312" w:cs="仿宋_GB2312"/>
          <w:bCs/>
          <w:color w:val="auto"/>
          <w:kern w:val="44"/>
          <w:sz w:val="32"/>
          <w:szCs w:val="32"/>
          <w:highlight w:val="none"/>
          <w:lang w:val="en-US" w:eastAsia="zh-CN"/>
        </w:rPr>
        <w:t>3、</w:t>
      </w:r>
      <w:r>
        <w:rPr>
          <w:rFonts w:hint="eastAsia" w:ascii="仿宋_GB2312" w:hAnsi="仿宋_GB2312" w:eastAsia="仿宋_GB2312" w:cs="仿宋_GB2312"/>
          <w:bCs/>
          <w:color w:val="auto"/>
          <w:kern w:val="44"/>
          <w:sz w:val="32"/>
          <w:szCs w:val="32"/>
          <w:highlight w:val="none"/>
          <w:lang w:eastAsia="zh-CN"/>
        </w:rPr>
        <w:t>社会保障和就业支出（208类）行政事业单位</w:t>
      </w:r>
      <w:r>
        <w:rPr>
          <w:rFonts w:hint="eastAsia" w:ascii="仿宋_GB2312" w:hAnsi="仿宋_GB2312" w:eastAsia="仿宋_GB2312" w:cs="仿宋_GB2312"/>
          <w:bCs/>
          <w:color w:val="auto"/>
          <w:kern w:val="44"/>
          <w:sz w:val="32"/>
          <w:szCs w:val="32"/>
          <w:highlight w:val="none"/>
          <w:lang w:val="en-US" w:eastAsia="zh-CN"/>
        </w:rPr>
        <w:t>养老支出</w:t>
      </w:r>
      <w:r>
        <w:rPr>
          <w:rFonts w:hint="eastAsia" w:ascii="仿宋_GB2312" w:hAnsi="仿宋_GB2312" w:eastAsia="仿宋_GB2312" w:cs="仿宋_GB2312"/>
          <w:bCs/>
          <w:color w:val="auto"/>
          <w:kern w:val="44"/>
          <w:sz w:val="32"/>
          <w:szCs w:val="32"/>
          <w:highlight w:val="none"/>
          <w:lang w:eastAsia="zh-CN"/>
        </w:rPr>
        <w:t>（20805款）机关事业单位基本养老保险缴费支出（2080505项）、</w:t>
      </w:r>
      <w:r>
        <w:rPr>
          <w:rFonts w:hint="eastAsia" w:ascii="仿宋_GB2312" w:hAnsi="仿宋_GB2312" w:eastAsia="仿宋_GB2312" w:cs="仿宋_GB2312"/>
          <w:bCs/>
          <w:color w:val="auto"/>
          <w:kern w:val="44"/>
          <w:sz w:val="32"/>
          <w:szCs w:val="32"/>
          <w:highlight w:val="none"/>
          <w:lang w:val="en-US" w:eastAsia="zh-CN"/>
        </w:rPr>
        <w:t>机关事业单位职业年金缴费支出（2080506项）</w:t>
      </w:r>
      <w:r>
        <w:rPr>
          <w:rFonts w:hint="eastAsia" w:ascii="仿宋_GB2312" w:hAnsi="仿宋_GB2312" w:eastAsia="仿宋_GB2312" w:cs="仿宋_GB2312"/>
          <w:bCs/>
          <w:color w:val="auto"/>
          <w:kern w:val="44"/>
          <w:sz w:val="32"/>
          <w:szCs w:val="32"/>
          <w:highlight w:val="none"/>
          <w:lang w:eastAsia="zh-CN"/>
        </w:rPr>
        <w:t>。2025年一般公共预算支出预算数为</w:t>
      </w:r>
      <w:r>
        <w:rPr>
          <w:rFonts w:hint="eastAsia" w:ascii="仿宋_GB2312" w:hAnsi="仿宋_GB2312" w:eastAsia="仿宋_GB2312" w:cs="仿宋_GB2312"/>
          <w:bCs/>
          <w:color w:val="auto"/>
          <w:kern w:val="44"/>
          <w:sz w:val="32"/>
          <w:szCs w:val="32"/>
          <w:highlight w:val="none"/>
          <w:lang w:val="en-US" w:eastAsia="zh-CN"/>
        </w:rPr>
        <w:t>12.23</w:t>
      </w:r>
      <w:r>
        <w:rPr>
          <w:rFonts w:hint="eastAsia" w:ascii="仿宋_GB2312" w:hAnsi="仿宋_GB2312" w:eastAsia="仿宋_GB2312" w:cs="仿宋_GB2312"/>
          <w:bCs/>
          <w:color w:val="auto"/>
          <w:kern w:val="44"/>
          <w:sz w:val="32"/>
          <w:szCs w:val="32"/>
          <w:highlight w:val="none"/>
          <w:lang w:eastAsia="zh-CN"/>
        </w:rPr>
        <w:t>万元。</w:t>
      </w:r>
      <w:r>
        <w:rPr>
          <w:rFonts w:hint="eastAsia" w:ascii="仿宋_GB2312" w:hAnsi="仿宋_GB2312" w:eastAsia="仿宋_GB2312" w:cs="仿宋_GB2312"/>
          <w:bCs/>
          <w:color w:val="auto"/>
          <w:kern w:val="44"/>
          <w:sz w:val="32"/>
          <w:szCs w:val="32"/>
          <w:highlight w:val="none"/>
          <w:lang w:val="en-US" w:eastAsia="zh-CN"/>
        </w:rPr>
        <w:t>支出决算为13.21万元，108%，主要原因是招录新进公务员。</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eastAsia="仿宋_GB2312"/>
          <w:lang w:val="en-US" w:eastAsia="zh-CN"/>
        </w:rPr>
      </w:pPr>
      <w:r>
        <w:rPr>
          <w:rFonts w:hint="eastAsia" w:ascii="仿宋_GB2312" w:hAnsi="仿宋_GB2312" w:eastAsia="仿宋_GB2312" w:cs="仿宋_GB2312"/>
          <w:bCs/>
          <w:color w:val="auto"/>
          <w:kern w:val="44"/>
          <w:sz w:val="32"/>
          <w:szCs w:val="32"/>
          <w:highlight w:val="none"/>
          <w:lang w:val="en-US" w:eastAsia="zh-CN"/>
        </w:rPr>
        <w:t>4、</w:t>
      </w:r>
      <w:r>
        <w:rPr>
          <w:rFonts w:hint="eastAsia" w:ascii="仿宋_GB2312" w:hAnsi="仿宋_GB2312" w:eastAsia="仿宋_GB2312" w:cs="仿宋_GB2312"/>
          <w:bCs/>
          <w:color w:val="auto"/>
          <w:kern w:val="44"/>
          <w:sz w:val="32"/>
          <w:szCs w:val="32"/>
          <w:highlight w:val="none"/>
          <w:lang w:eastAsia="zh-CN"/>
        </w:rPr>
        <w:t>住房保障支出（221类）住房改革支出（22102款）住房公积金（2210201项）。2025年一般公共预算支出预算数为</w:t>
      </w:r>
      <w:r>
        <w:rPr>
          <w:rFonts w:hint="eastAsia" w:ascii="仿宋_GB2312" w:hAnsi="仿宋_GB2312" w:eastAsia="仿宋_GB2312" w:cs="仿宋_GB2312"/>
          <w:bCs/>
          <w:color w:val="auto"/>
          <w:kern w:val="44"/>
          <w:sz w:val="32"/>
          <w:szCs w:val="32"/>
          <w:highlight w:val="none"/>
          <w:lang w:val="en-US" w:eastAsia="zh-CN"/>
        </w:rPr>
        <w:t>6.38</w:t>
      </w:r>
      <w:r>
        <w:rPr>
          <w:rFonts w:hint="eastAsia" w:ascii="仿宋_GB2312" w:hAnsi="仿宋_GB2312" w:eastAsia="仿宋_GB2312" w:cs="仿宋_GB2312"/>
          <w:bCs/>
          <w:color w:val="auto"/>
          <w:kern w:val="44"/>
          <w:sz w:val="32"/>
          <w:szCs w:val="32"/>
          <w:highlight w:val="none"/>
          <w:lang w:eastAsia="zh-CN"/>
        </w:rPr>
        <w:t>万元，</w:t>
      </w:r>
      <w:r>
        <w:rPr>
          <w:rFonts w:hint="eastAsia" w:ascii="仿宋_GB2312" w:hAnsi="仿宋_GB2312" w:eastAsia="仿宋_GB2312" w:cs="仿宋_GB2312"/>
          <w:bCs/>
          <w:color w:val="auto"/>
          <w:kern w:val="44"/>
          <w:sz w:val="32"/>
          <w:szCs w:val="32"/>
          <w:highlight w:val="none"/>
          <w:lang w:val="en-US" w:eastAsia="zh-CN"/>
        </w:rPr>
        <w:t>支出决算为6.38万元，完成年初预算的100%。</w:t>
      </w:r>
    </w:p>
    <w:p>
      <w:pPr>
        <w:bidi w:val="0"/>
        <w:ind w:firstLine="640" w:firstLineChars="200"/>
        <w:rPr>
          <w:rFonts w:hint="eastAsia"/>
          <w:sz w:val="32"/>
          <w:szCs w:val="32"/>
          <w:lang w:val="en-US" w:eastAsia="zh-CN"/>
        </w:rPr>
      </w:pPr>
      <w:r>
        <w:rPr>
          <w:rFonts w:hint="eastAsia" w:ascii="黑体" w:hAnsi="黑体" w:eastAsia="黑体" w:cs="黑体"/>
          <w:sz w:val="32"/>
          <w:szCs w:val="32"/>
          <w:lang w:val="en-US" w:eastAsia="zh-CN"/>
        </w:rPr>
        <w:t>六、一般公共预算财政拨款基本支出决算情况说明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2025年度一般公共预算财政拨款基本支出101.9万元，其中：</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人员经费91.59万元，主要包括：基本工资、津贴补贴、奖金、伙食补助费、绩效工资、机关事业单位基本养老保险缴费、职业年金缴费、职工基本医疗保险缴费、公务员医疗补助缴费、其他社会保障缴费、住房公积金、医疗费、其他工资福利支出、其他对个人和家庭的补助。</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公用经费10.31万元，主要包括：办公费、印刷费、咨询费、手续费、水费、电费、邮电费、取暖费、物业管理费、差旅费、因公出国(境)费用、维修(护)费、租赁费、会议费、培训费、公务接待费、专用材料费、被装购置费、专用燃料费、劳务费、委托业务费、工会经费、福利费、公务用车运行维护费、其他交通费用、税金及附加费用、其他商品和服务支出、办公设备购置、专用设备购置、信息网络及软件购置更新、公务用车购置、其他资本性支出。</w:t>
      </w:r>
    </w:p>
    <w:p>
      <w:pPr>
        <w:pStyle w:val="7"/>
        <w:numPr>
          <w:ilvl w:val="0"/>
          <w:numId w:val="0"/>
        </w:num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七、政府性基金预算财政拨款收入支出决算情况说明</w:t>
      </w:r>
    </w:p>
    <w:p>
      <w:pPr>
        <w:numPr>
          <w:ilvl w:val="0"/>
          <w:numId w:val="0"/>
        </w:numPr>
        <w:bidi w:val="0"/>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2025年度政府性基金预算财政拨款收入13.38万元，本年支出13.38万元，年末结转和结余0万元。具体支出情况为：</w:t>
      </w:r>
    </w:p>
    <w:p>
      <w:p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用于红十字事业的彩票公益金支出(类)。支出决算为</w:t>
      </w:r>
      <w:r>
        <w:rPr>
          <w:rFonts w:hint="eastAsia" w:ascii="仿宋_GB2312" w:hAnsi="仿宋_GB2312" w:cs="仿宋_GB2312"/>
          <w:sz w:val="32"/>
          <w:szCs w:val="32"/>
          <w:u w:val="single"/>
          <w:lang w:val="en-US" w:eastAsia="zh-CN"/>
        </w:rPr>
        <w:t xml:space="preserve"> </w:t>
      </w:r>
      <w:r>
        <w:rPr>
          <w:rFonts w:hint="eastAsia" w:ascii="仿宋_GB2312" w:hAnsi="仿宋_GB2312" w:cs="仿宋_GB2312"/>
          <w:sz w:val="32"/>
          <w:szCs w:val="32"/>
          <w:u w:val="none"/>
          <w:lang w:val="en-US" w:eastAsia="zh-CN"/>
        </w:rPr>
        <w:t>13.38</w:t>
      </w:r>
      <w:r>
        <w:rPr>
          <w:rFonts w:hint="eastAsia" w:ascii="仿宋_GB2312" w:hAnsi="仿宋_GB2312" w:eastAsia="仿宋_GB2312" w:cs="仿宋_GB2312"/>
          <w:sz w:val="32"/>
          <w:szCs w:val="32"/>
          <w:lang w:val="en-US" w:eastAsia="zh-CN"/>
        </w:rPr>
        <w:t>万元，主要用于红十字救护员培训、红十字事业发展等方面支出。</w:t>
      </w:r>
    </w:p>
    <w:p>
      <w:pPr>
        <w:numPr>
          <w:ilvl w:val="0"/>
          <w:numId w:val="0"/>
        </w:numPr>
        <w:bidi w:val="0"/>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八、国有资本经营预算财政拨款支出决算情况说明</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本单位本年无国有资本经营预算财政拨款支出。</w:t>
      </w:r>
    </w:p>
    <w:p>
      <w:pPr>
        <w:numPr>
          <w:ilvl w:val="0"/>
          <w:numId w:val="0"/>
        </w:numPr>
        <w:bidi w:val="0"/>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 xml:space="preserve">九、财政拨款“三公”经费支出决算情况说明 </w:t>
      </w:r>
    </w:p>
    <w:p>
      <w:pPr>
        <w:numPr>
          <w:ilvl w:val="0"/>
          <w:numId w:val="0"/>
        </w:numPr>
        <w:bidi w:val="0"/>
        <w:ind w:left="420" w:leftChars="200" w:firstLine="0" w:firstLineChars="0"/>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（一）“三公”经费财政拨款支出决算总体情况说明。</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sz w:val="32"/>
          <w:szCs w:val="32"/>
          <w:lang w:val="en-US" w:eastAsia="zh-CN"/>
        </w:rPr>
        <w:t>2025年度“三公”经费财政拨款支出全年预算为</w:t>
      </w:r>
      <w:r>
        <w:rPr>
          <w:rFonts w:hint="eastAsia" w:ascii="仿宋_GB2312" w:hAnsi="仿宋_GB2312" w:eastAsia="仿宋_GB2312" w:cs="仿宋_GB2312"/>
          <w:color w:val="000000"/>
          <w:kern w:val="0"/>
          <w:sz w:val="32"/>
          <w:szCs w:val="32"/>
          <w:lang w:val="en-US" w:eastAsia="zh-CN"/>
        </w:rPr>
        <w:t>2.44</w:t>
      </w:r>
      <w:r>
        <w:rPr>
          <w:rFonts w:hint="eastAsia" w:ascii="仿宋_GB2312" w:hAnsi="仿宋_GB2312" w:eastAsia="仿宋_GB2312" w:cs="仿宋_GB2312"/>
          <w:sz w:val="32"/>
          <w:szCs w:val="32"/>
          <w:lang w:val="en-US" w:eastAsia="zh-CN"/>
        </w:rPr>
        <w:t>万元，支出决算为</w:t>
      </w:r>
      <w:r>
        <w:rPr>
          <w:rFonts w:hint="eastAsia" w:ascii="仿宋_GB2312" w:hAnsi="仿宋_GB2312" w:eastAsia="仿宋_GB2312" w:cs="仿宋_GB2312"/>
          <w:sz w:val="32"/>
          <w:szCs w:val="32"/>
          <w:u w:val="none"/>
          <w:lang w:val="en-US" w:eastAsia="zh-CN"/>
        </w:rPr>
        <w:t>1.44</w:t>
      </w:r>
      <w:r>
        <w:rPr>
          <w:rFonts w:hint="eastAsia" w:ascii="仿宋_GB2312" w:hAnsi="仿宋_GB2312" w:eastAsia="仿宋_GB2312" w:cs="仿宋_GB2312"/>
          <w:sz w:val="32"/>
          <w:szCs w:val="32"/>
          <w:lang w:val="en-US" w:eastAsia="zh-CN"/>
        </w:rPr>
        <w:t>万元，完成全年预算的</w:t>
      </w:r>
      <w:r>
        <w:rPr>
          <w:rFonts w:hint="eastAsia" w:ascii="仿宋_GB2312" w:hAnsi="仿宋_GB2312" w:eastAsia="仿宋_GB2312" w:cs="仿宋_GB2312"/>
          <w:sz w:val="32"/>
          <w:szCs w:val="32"/>
          <w:u w:val="none"/>
          <w:lang w:val="en-US" w:eastAsia="zh-CN"/>
        </w:rPr>
        <w:t>59%。</w:t>
      </w:r>
      <w:r>
        <w:rPr>
          <w:rFonts w:hint="eastAsia" w:ascii="仿宋_GB2312" w:hAnsi="仿宋_GB2312" w:eastAsia="仿宋_GB2312" w:cs="仿宋_GB2312"/>
          <w:color w:val="000000"/>
          <w:kern w:val="0"/>
          <w:sz w:val="32"/>
          <w:szCs w:val="32"/>
          <w:lang w:eastAsia="zh-CN"/>
        </w:rPr>
        <w:t>决算数小于预算数的主要原因:响应中央八项规定精神，厉行节约。</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color w:val="000000"/>
          <w:kern w:val="0"/>
          <w:sz w:val="32"/>
          <w:szCs w:val="32"/>
          <w:lang w:val="en-US" w:eastAsia="zh-CN" w:bidi="ar-SA"/>
        </w:rPr>
      </w:pPr>
      <w:r>
        <w:rPr>
          <w:rFonts w:hint="eastAsia" w:ascii="楷体_GB2312" w:hAnsi="楷体_GB2312" w:eastAsia="楷体_GB2312" w:cs="楷体_GB2312"/>
          <w:sz w:val="32"/>
          <w:szCs w:val="32"/>
          <w:lang w:val="en-US" w:eastAsia="zh-CN"/>
        </w:rPr>
        <w:t>（二）“三公”经费财政拨款支出决算具体情况说明。</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1</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因公出国（境）费</w:t>
      </w:r>
      <w:r>
        <w:rPr>
          <w:rFonts w:hint="eastAsia" w:ascii="仿宋_GB2312" w:hAnsi="仿宋_GB2312" w:eastAsia="仿宋_GB2312" w:cs="仿宋_GB2312"/>
          <w:bCs/>
          <w:color w:val="000000"/>
          <w:kern w:val="0"/>
          <w:sz w:val="32"/>
          <w:szCs w:val="32"/>
          <w:lang w:eastAsia="zh-CN"/>
        </w:rPr>
        <w:t>预算为</w:t>
      </w:r>
      <w:r>
        <w:rPr>
          <w:rFonts w:hint="eastAsia" w:ascii="仿宋_GB2312" w:hAnsi="仿宋_GB2312" w:eastAsia="仿宋_GB2312" w:cs="仿宋_GB2312"/>
          <w:bCs/>
          <w:color w:val="000000"/>
          <w:kern w:val="0"/>
          <w:sz w:val="32"/>
          <w:szCs w:val="32"/>
          <w:lang w:val="en-US" w:eastAsia="zh-CN"/>
        </w:rPr>
        <w:t>0</w:t>
      </w:r>
      <w:r>
        <w:rPr>
          <w:rFonts w:hint="eastAsia" w:ascii="仿宋_GB2312" w:hAnsi="仿宋_GB2312" w:eastAsia="仿宋_GB2312" w:cs="仿宋_GB2312"/>
          <w:bCs/>
          <w:color w:val="000000"/>
          <w:kern w:val="0"/>
          <w:sz w:val="32"/>
          <w:szCs w:val="32"/>
        </w:rPr>
        <w:t>万元</w:t>
      </w:r>
      <w:r>
        <w:rPr>
          <w:rFonts w:hint="eastAsia" w:ascii="仿宋_GB2312" w:hAnsi="仿宋_GB2312" w:eastAsia="仿宋_GB2312" w:cs="仿宋_GB2312"/>
          <w:bCs/>
          <w:color w:val="000000"/>
          <w:kern w:val="0"/>
          <w:sz w:val="32"/>
          <w:szCs w:val="32"/>
          <w:lang w:eastAsia="zh-CN"/>
        </w:rPr>
        <w:t>，支出决算为</w:t>
      </w:r>
      <w:r>
        <w:rPr>
          <w:rFonts w:hint="eastAsia" w:ascii="仿宋_GB2312" w:hAnsi="仿宋_GB2312" w:eastAsia="仿宋_GB2312" w:cs="仿宋_GB2312"/>
          <w:bCs/>
          <w:color w:val="000000"/>
          <w:kern w:val="0"/>
          <w:sz w:val="32"/>
          <w:szCs w:val="32"/>
          <w:lang w:val="en-US" w:eastAsia="zh-CN"/>
        </w:rPr>
        <w:t>0万元</w:t>
      </w:r>
      <w:r>
        <w:rPr>
          <w:rFonts w:hint="eastAsia" w:ascii="仿宋_GB2312" w:hAnsi="仿宋_GB2312" w:eastAsia="仿宋_GB2312" w:cs="仿宋_GB2312"/>
          <w:bCs/>
          <w:color w:val="000000"/>
          <w:kern w:val="0"/>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2</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公务用车购置及运行费预算为</w:t>
      </w:r>
      <w:r>
        <w:rPr>
          <w:rFonts w:hint="eastAsia" w:ascii="仿宋_GB2312" w:hAnsi="仿宋_GB2312" w:eastAsia="仿宋_GB2312" w:cs="仿宋_GB2312"/>
          <w:bCs/>
          <w:color w:val="000000"/>
          <w:kern w:val="0"/>
          <w:sz w:val="32"/>
          <w:szCs w:val="32"/>
          <w:lang w:val="en-US" w:eastAsia="zh-CN"/>
        </w:rPr>
        <w:t>2.24</w:t>
      </w:r>
      <w:r>
        <w:rPr>
          <w:rFonts w:hint="eastAsia" w:ascii="仿宋_GB2312" w:hAnsi="仿宋_GB2312" w:eastAsia="仿宋_GB2312" w:cs="仿宋_GB2312"/>
          <w:bCs/>
          <w:color w:val="000000"/>
          <w:kern w:val="0"/>
          <w:sz w:val="32"/>
          <w:szCs w:val="32"/>
        </w:rPr>
        <w:t>万元，支出决算为</w:t>
      </w:r>
      <w:r>
        <w:rPr>
          <w:rFonts w:hint="eastAsia" w:ascii="仿宋_GB2312" w:hAnsi="仿宋_GB2312" w:eastAsia="仿宋_GB2312" w:cs="仿宋_GB2312"/>
          <w:bCs/>
          <w:color w:val="000000"/>
          <w:kern w:val="0"/>
          <w:sz w:val="32"/>
          <w:szCs w:val="32"/>
          <w:lang w:val="en-US" w:eastAsia="zh-CN"/>
        </w:rPr>
        <w:t>1.24</w:t>
      </w:r>
      <w:r>
        <w:rPr>
          <w:rFonts w:hint="eastAsia" w:ascii="仿宋_GB2312" w:hAnsi="仿宋_GB2312" w:eastAsia="仿宋_GB2312" w:cs="仿宋_GB2312"/>
          <w:bCs/>
          <w:color w:val="000000"/>
          <w:kern w:val="0"/>
          <w:sz w:val="32"/>
          <w:szCs w:val="32"/>
        </w:rPr>
        <w:t>万元，完成预算的</w:t>
      </w:r>
      <w:r>
        <w:rPr>
          <w:rFonts w:hint="eastAsia" w:ascii="仿宋_GB2312" w:hAnsi="仿宋_GB2312" w:eastAsia="仿宋_GB2312" w:cs="仿宋_GB2312"/>
          <w:bCs/>
          <w:color w:val="000000"/>
          <w:kern w:val="0"/>
          <w:sz w:val="32"/>
          <w:szCs w:val="32"/>
          <w:lang w:val="en-US" w:eastAsia="zh-CN"/>
        </w:rPr>
        <w:t>55.3</w:t>
      </w:r>
      <w:r>
        <w:rPr>
          <w:rFonts w:hint="eastAsia" w:ascii="仿宋_GB2312" w:hAnsi="仿宋_GB2312" w:eastAsia="仿宋_GB2312" w:cs="仿宋_GB2312"/>
          <w:bCs/>
          <w:color w:val="000000"/>
          <w:kern w:val="0"/>
          <w:sz w:val="32"/>
          <w:szCs w:val="32"/>
        </w:rPr>
        <w:t>%</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决算数小于预算数的主要原因:厉行节约。</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(1)公务用车购置费支出0万元。本年度购置(更新)公务用车0辆。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bCs/>
          <w:color w:val="000000"/>
          <w:kern w:val="0"/>
          <w:sz w:val="32"/>
          <w:szCs w:val="32"/>
        </w:rPr>
        <w:t>(2)公务用车运行费支出</w:t>
      </w:r>
      <w:r>
        <w:rPr>
          <w:rFonts w:hint="eastAsia" w:ascii="仿宋_GB2312" w:hAnsi="仿宋_GB2312" w:eastAsia="仿宋_GB2312" w:cs="仿宋_GB2312"/>
          <w:bCs/>
          <w:color w:val="000000"/>
          <w:kern w:val="0"/>
          <w:sz w:val="32"/>
          <w:szCs w:val="32"/>
          <w:lang w:val="en-US" w:eastAsia="zh-CN"/>
        </w:rPr>
        <w:t>1.24</w:t>
      </w:r>
      <w:r>
        <w:rPr>
          <w:rFonts w:hint="eastAsia" w:ascii="仿宋_GB2312" w:hAnsi="仿宋_GB2312" w:eastAsia="仿宋_GB2312" w:cs="仿宋_GB2312"/>
          <w:bCs/>
          <w:color w:val="000000"/>
          <w:kern w:val="0"/>
          <w:sz w:val="32"/>
          <w:szCs w:val="32"/>
        </w:rPr>
        <w:t>万元，主要用于公务用车运行维护。截至</w:t>
      </w:r>
      <w:r>
        <w:rPr>
          <w:rFonts w:hint="eastAsia" w:ascii="仿宋_GB2312" w:hAnsi="仿宋_GB2312" w:eastAsia="仿宋_GB2312" w:cs="仿宋_GB2312"/>
          <w:bCs/>
          <w:color w:val="000000"/>
          <w:kern w:val="0"/>
          <w:sz w:val="32"/>
          <w:szCs w:val="32"/>
          <w:lang w:eastAsia="zh-CN"/>
        </w:rPr>
        <w:t>2025年</w:t>
      </w:r>
      <w:r>
        <w:rPr>
          <w:rFonts w:hint="eastAsia" w:ascii="仿宋_GB2312" w:hAnsi="仿宋_GB2312" w:eastAsia="仿宋_GB2312" w:cs="仿宋_GB2312"/>
          <w:bCs/>
          <w:color w:val="000000"/>
          <w:kern w:val="0"/>
          <w:sz w:val="32"/>
          <w:szCs w:val="32"/>
        </w:rPr>
        <w:t>12月31日，开支财政拨款的公务用车保有量为1辆。</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color w:val="000000"/>
          <w:sz w:val="32"/>
          <w:szCs w:val="32"/>
          <w:highlight w:val="none"/>
        </w:rPr>
        <w:t>3</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公务接待费</w:t>
      </w:r>
      <w:r>
        <w:rPr>
          <w:rFonts w:hint="eastAsia" w:ascii="仿宋_GB2312" w:hAnsi="仿宋_GB2312" w:eastAsia="仿宋_GB2312" w:cs="仿宋_GB2312"/>
          <w:sz w:val="32"/>
          <w:szCs w:val="32"/>
          <w:lang w:val="en-US" w:eastAsia="zh-CN"/>
        </w:rPr>
        <w:t>全年</w:t>
      </w:r>
      <w:r>
        <w:rPr>
          <w:rFonts w:hint="eastAsia" w:ascii="仿宋_GB2312" w:hAnsi="仿宋_GB2312" w:eastAsia="仿宋_GB2312" w:cs="仿宋_GB2312"/>
          <w:color w:val="000000"/>
          <w:sz w:val="32"/>
          <w:szCs w:val="32"/>
          <w:highlight w:val="none"/>
          <w:lang w:eastAsia="zh-CN"/>
        </w:rPr>
        <w:t>预算为</w:t>
      </w:r>
      <w:r>
        <w:rPr>
          <w:rFonts w:hint="eastAsia" w:ascii="仿宋_GB2312" w:hAnsi="仿宋_GB2312" w:eastAsia="仿宋_GB2312" w:cs="仿宋_GB2312"/>
          <w:color w:val="000000"/>
          <w:sz w:val="32"/>
          <w:szCs w:val="32"/>
          <w:highlight w:val="none"/>
          <w:u w:val="none"/>
          <w:lang w:val="en-US" w:eastAsia="zh-CN"/>
        </w:rPr>
        <w:t>0.19</w:t>
      </w:r>
      <w:r>
        <w:rPr>
          <w:rFonts w:hint="eastAsia" w:ascii="仿宋_GB2312" w:hAnsi="仿宋_GB2312" w:eastAsia="仿宋_GB2312" w:cs="仿宋_GB2312"/>
          <w:color w:val="000000"/>
          <w:sz w:val="32"/>
          <w:szCs w:val="32"/>
          <w:highlight w:val="none"/>
          <w:u w:val="none"/>
        </w:rPr>
        <w:t>万元</w:t>
      </w:r>
      <w:r>
        <w:rPr>
          <w:rFonts w:hint="eastAsia" w:ascii="仿宋_GB2312" w:hAnsi="仿宋_GB2312" w:eastAsia="仿宋_GB2312" w:cs="仿宋_GB2312"/>
          <w:color w:val="000000"/>
          <w:sz w:val="32"/>
          <w:szCs w:val="32"/>
          <w:highlight w:val="none"/>
          <w:u w:val="none"/>
          <w:lang w:eastAsia="zh-CN"/>
        </w:rPr>
        <w:t>，</w:t>
      </w:r>
      <w:r>
        <w:rPr>
          <w:rFonts w:hint="eastAsia" w:ascii="仿宋_GB2312" w:hAnsi="仿宋_GB2312" w:eastAsia="仿宋_GB2312" w:cs="仿宋_GB2312"/>
          <w:color w:val="000000"/>
          <w:sz w:val="32"/>
          <w:szCs w:val="32"/>
          <w:highlight w:val="none"/>
          <w:u w:val="none"/>
        </w:rPr>
        <w:t>支出决算为</w:t>
      </w:r>
      <w:r>
        <w:rPr>
          <w:rFonts w:hint="eastAsia" w:ascii="仿宋_GB2312" w:hAnsi="仿宋_GB2312" w:eastAsia="仿宋_GB2312" w:cs="仿宋_GB2312"/>
          <w:color w:val="000000"/>
          <w:sz w:val="32"/>
          <w:szCs w:val="32"/>
          <w:highlight w:val="none"/>
          <w:u w:val="none"/>
          <w:lang w:val="en-US" w:eastAsia="zh-CN"/>
        </w:rPr>
        <w:t>0.19</w:t>
      </w:r>
      <w:r>
        <w:rPr>
          <w:rFonts w:hint="eastAsia" w:ascii="仿宋_GB2312" w:hAnsi="仿宋_GB2312" w:eastAsia="仿宋_GB2312" w:cs="仿宋_GB2312"/>
          <w:color w:val="000000"/>
          <w:sz w:val="32"/>
          <w:szCs w:val="32"/>
          <w:highlight w:val="none"/>
          <w:u w:val="none"/>
        </w:rPr>
        <w:t>万元，</w:t>
      </w:r>
      <w:r>
        <w:rPr>
          <w:rFonts w:hint="eastAsia" w:ascii="仿宋_GB2312" w:hAnsi="仿宋_GB2312" w:eastAsia="仿宋_GB2312" w:cs="仿宋_GB2312"/>
          <w:color w:val="000000"/>
          <w:sz w:val="32"/>
          <w:szCs w:val="32"/>
          <w:highlight w:val="none"/>
          <w:u w:val="none"/>
          <w:lang w:eastAsia="zh-CN"/>
        </w:rPr>
        <w:t>完成</w:t>
      </w:r>
      <w:r>
        <w:rPr>
          <w:rFonts w:hint="eastAsia" w:ascii="仿宋_GB2312" w:hAnsi="仿宋_GB2312" w:eastAsia="仿宋_GB2312" w:cs="仿宋_GB2312"/>
          <w:sz w:val="32"/>
          <w:szCs w:val="32"/>
          <w:u w:val="none"/>
          <w:lang w:val="en-US" w:eastAsia="zh-CN"/>
        </w:rPr>
        <w:t>全年</w:t>
      </w:r>
      <w:r>
        <w:rPr>
          <w:rFonts w:hint="eastAsia" w:ascii="仿宋_GB2312" w:hAnsi="仿宋_GB2312" w:eastAsia="仿宋_GB2312" w:cs="仿宋_GB2312"/>
          <w:color w:val="000000"/>
          <w:sz w:val="32"/>
          <w:szCs w:val="32"/>
          <w:highlight w:val="none"/>
          <w:u w:val="none"/>
        </w:rPr>
        <w:t>预算的</w:t>
      </w:r>
      <w:r>
        <w:rPr>
          <w:rFonts w:hint="eastAsia" w:ascii="仿宋_GB2312" w:hAnsi="仿宋_GB2312" w:eastAsia="仿宋_GB2312" w:cs="仿宋_GB2312"/>
          <w:color w:val="000000"/>
          <w:sz w:val="32"/>
          <w:szCs w:val="32"/>
          <w:highlight w:val="none"/>
          <w:u w:val="none"/>
          <w:lang w:val="en-US" w:eastAsia="zh-CN"/>
        </w:rPr>
        <w:t>100</w:t>
      </w: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十、机关运行经费支出说明</w:t>
      </w:r>
    </w:p>
    <w:p>
      <w:pPr>
        <w:pStyle w:val="7"/>
        <w:ind w:firstLine="640" w:firstLineChars="200"/>
        <w:rPr>
          <w:rFonts w:hint="eastAsia" w:ascii="仿宋_GB2312" w:eastAsia="仿宋_GB2312"/>
          <w:color w:val="0000FF"/>
          <w:sz w:val="32"/>
          <w:szCs w:val="32"/>
          <w:lang w:eastAsia="zh-CN"/>
        </w:rPr>
      </w:pPr>
      <w:r>
        <w:rPr>
          <w:rFonts w:hint="eastAsia" w:ascii="仿宋_GB2312" w:eastAsia="仿宋_GB2312"/>
          <w:color w:val="auto"/>
          <w:sz w:val="32"/>
          <w:szCs w:val="32"/>
        </w:rPr>
        <w:t>本部门</w:t>
      </w:r>
      <w:r>
        <w:rPr>
          <w:rFonts w:hint="eastAsia" w:ascii="仿宋_GB2312" w:eastAsia="仿宋_GB2312"/>
          <w:color w:val="auto"/>
          <w:sz w:val="32"/>
          <w:szCs w:val="32"/>
          <w:lang w:eastAsia="zh-CN"/>
        </w:rPr>
        <w:t>2025年</w:t>
      </w:r>
      <w:r>
        <w:rPr>
          <w:rFonts w:hint="eastAsia" w:ascii="仿宋_GB2312" w:eastAsia="仿宋_GB2312"/>
          <w:color w:val="auto"/>
          <w:sz w:val="32"/>
          <w:szCs w:val="32"/>
        </w:rPr>
        <w:t>度机关运行经费支出</w:t>
      </w:r>
      <w:r>
        <w:rPr>
          <w:rFonts w:hint="eastAsia" w:ascii="仿宋_GB2312" w:eastAsia="仿宋_GB2312"/>
          <w:color w:val="auto"/>
          <w:sz w:val="32"/>
          <w:szCs w:val="32"/>
          <w:lang w:val="en-US" w:eastAsia="zh-CN"/>
        </w:rPr>
        <w:t>10.31</w:t>
      </w:r>
      <w:r>
        <w:rPr>
          <w:rFonts w:hint="eastAsia" w:ascii="仿宋_GB2312" w:eastAsia="仿宋_GB2312"/>
          <w:color w:val="auto"/>
          <w:sz w:val="32"/>
          <w:szCs w:val="32"/>
        </w:rPr>
        <w:t>万元</w:t>
      </w:r>
      <w:r>
        <w:rPr>
          <w:rFonts w:hint="eastAsia" w:ascii="仿宋_GB2312" w:eastAsia="仿宋_GB2312"/>
          <w:color w:val="auto"/>
          <w:sz w:val="32"/>
          <w:szCs w:val="32"/>
          <w:lang w:eastAsia="zh-CN"/>
        </w:rPr>
        <w:t>，</w:t>
      </w:r>
      <w:r>
        <w:rPr>
          <w:rFonts w:hint="eastAsia" w:ascii="仿宋_GB2312" w:eastAsia="仿宋_GB2312"/>
          <w:sz w:val="32"/>
          <w:szCs w:val="32"/>
        </w:rPr>
        <w:t>比年初预算数减少</w:t>
      </w:r>
      <w:r>
        <w:rPr>
          <w:rFonts w:hint="eastAsia" w:ascii="仿宋_GB2312" w:eastAsia="仿宋_GB2312"/>
          <w:sz w:val="32"/>
          <w:szCs w:val="32"/>
          <w:lang w:val="en-US" w:eastAsia="zh-CN"/>
        </w:rPr>
        <w:t>5.38</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rPr>
        <w:t>降低</w:t>
      </w:r>
      <w:r>
        <w:rPr>
          <w:rFonts w:hint="eastAsia" w:ascii="仿宋_GB2312" w:eastAsia="仿宋_GB2312"/>
          <w:sz w:val="32"/>
          <w:szCs w:val="32"/>
          <w:lang w:val="en-US" w:eastAsia="zh-CN"/>
        </w:rPr>
        <w:t>34.3</w:t>
      </w:r>
      <w:r>
        <w:rPr>
          <w:rFonts w:hint="eastAsia" w:ascii="仿宋_GB2312" w:eastAsia="仿宋_GB2312"/>
          <w:sz w:val="32"/>
          <w:szCs w:val="32"/>
        </w:rPr>
        <w:t>%。主要原因是：我单位认真贯彻中央“八项规定”精神和厉行节约要求，从严控制机关运行经费支出，各项支出对比上年决算均有下降。</w:t>
      </w:r>
    </w:p>
    <w:p>
      <w:pPr>
        <w:numPr>
          <w:ilvl w:val="0"/>
          <w:numId w:val="3"/>
        </w:numPr>
        <w:bidi w:val="0"/>
        <w:ind w:left="310" w:leftChars="0" w:firstLine="320" w:firstLineChars="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政府采购支出说明</w:t>
      </w:r>
    </w:p>
    <w:p>
      <w:pPr>
        <w:pStyle w:val="7"/>
        <w:numPr>
          <w:ilvl w:val="0"/>
          <w:numId w:val="0"/>
        </w:numPr>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本单位本年无政府采购支出。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十二、国有资产占用情况说明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kern w:val="0"/>
          <w:sz w:val="32"/>
          <w:szCs w:val="32"/>
          <w:lang w:val="en-US" w:eastAsia="zh-CN"/>
        </w:rPr>
      </w:pPr>
      <w:r>
        <w:rPr>
          <w:rFonts w:hint="eastAsia" w:ascii="仿宋_GB2312" w:hAnsi="仿宋_GB2312" w:eastAsia="仿宋_GB2312" w:cs="仿宋_GB2312"/>
          <w:bCs/>
          <w:color w:val="000000"/>
          <w:kern w:val="0"/>
          <w:sz w:val="32"/>
          <w:szCs w:val="32"/>
          <w:lang w:val="en-US" w:eastAsia="zh-CN"/>
        </w:rPr>
        <w:t>截至2025年12月31日,本单位公务用车保有量1辆，为其他用车，由香港红十字会捐赠，单位价值100万元以上设备(不含车辆)0台(套)。</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十三、预算绩效情况说明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Cs/>
          <w:color w:val="000000"/>
          <w:kern w:val="0"/>
          <w:sz w:val="32"/>
          <w:szCs w:val="32"/>
          <w:lang w:val="en-US" w:eastAsia="zh-CN"/>
        </w:rPr>
      </w:pP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rPr>
        <w:t>预算绩效管理工作开展情况</w:t>
      </w:r>
      <w:r>
        <w:rPr>
          <w:rFonts w:hint="eastAsia" w:ascii="楷体_GB2312" w:hAnsi="楷体_GB2312" w:eastAsia="楷体_GB2312" w:cs="楷体_GB2312"/>
          <w:sz w:val="32"/>
          <w:szCs w:val="32"/>
          <w:lang w:eastAsia="zh-CN"/>
        </w:rPr>
        <w:t>。</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val="en-US" w:eastAsia="zh-CN"/>
        </w:rPr>
      </w:pPr>
      <w:r>
        <w:rPr>
          <w:rFonts w:hint="eastAsia" w:ascii="仿宋_GB2312" w:hAnsi="仿宋_GB2312" w:eastAsia="仿宋_GB2312" w:cs="仿宋_GB2312"/>
          <w:bCs/>
          <w:color w:val="000000"/>
          <w:kern w:val="0"/>
          <w:sz w:val="32"/>
          <w:szCs w:val="32"/>
          <w:lang w:val="en-US" w:eastAsia="zh-CN"/>
        </w:rPr>
        <w:t>根据预算绩效管理要求，我单位组织对2025年一般公共预算项目支出全面开展绩效自评，共涉及项目1个，资金39.71万元，占一般公共预算项目支出总额的100%，组织对2025年度1个政府性基金预算项目开展绩效自评，共涉及资金13.38万元，占政府性基金预算项目支出总额的100%。从评价情况来看，我单位各项工作均正常开展，资金使用取得了较好的效益。我单位按照要求组织开展整体支出绩效评价，评价情况来看，2025年市红十字会各项工作进展有序、成效明显。</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val="en-US" w:eastAsia="zh-CN"/>
        </w:rPr>
      </w:pPr>
      <w:r>
        <w:rPr>
          <w:rFonts w:hint="eastAsia" w:ascii="仿宋_GB2312" w:hAnsi="仿宋_GB2312" w:eastAsia="仿宋_GB2312" w:cs="仿宋_GB2312"/>
          <w:bCs/>
          <w:color w:val="000000"/>
          <w:kern w:val="0"/>
          <w:sz w:val="32"/>
          <w:szCs w:val="32"/>
          <w:lang w:val="en-US" w:eastAsia="zh-CN"/>
        </w:rPr>
        <w:t>附件：1、2025年度市红十字会整体支出绩效自评表</w:t>
      </w:r>
    </w:p>
    <w:p>
      <w:pPr>
        <w:keepNext w:val="0"/>
        <w:keepLines w:val="0"/>
        <w:pageBreakBefore w:val="0"/>
        <w:widowControl w:val="0"/>
        <w:kinsoku/>
        <w:wordWrap/>
        <w:overflowPunct/>
        <w:topLinePunct w:val="0"/>
        <w:autoSpaceDE/>
        <w:autoSpaceDN/>
        <w:bidi w:val="0"/>
        <w:adjustRightInd w:val="0"/>
        <w:snapToGrid w:val="0"/>
        <w:spacing w:line="560" w:lineRule="exact"/>
        <w:ind w:left="1596" w:leftChars="760" w:right="0" w:rightChars="0" w:firstLine="0" w:firstLineChars="0"/>
        <w:textAlignment w:val="auto"/>
        <w:outlineLvl w:val="9"/>
        <w:rPr>
          <w:rFonts w:hint="eastAsia" w:ascii="仿宋_GB2312" w:hAnsi="仿宋_GB2312" w:eastAsia="仿宋_GB2312" w:cs="仿宋_GB2312"/>
          <w:bCs/>
          <w:color w:val="000000"/>
          <w:kern w:val="0"/>
          <w:sz w:val="32"/>
          <w:szCs w:val="32"/>
          <w:lang w:val="en-US" w:eastAsia="zh-CN"/>
        </w:rPr>
      </w:pPr>
      <w:r>
        <w:rPr>
          <w:rFonts w:hint="eastAsia" w:ascii="仿宋_GB2312" w:hAnsi="仿宋_GB2312" w:eastAsia="仿宋_GB2312" w:cs="仿宋_GB2312"/>
          <w:bCs/>
          <w:color w:val="000000"/>
          <w:kern w:val="0"/>
          <w:sz w:val="32"/>
          <w:szCs w:val="32"/>
          <w:lang w:val="en-US" w:eastAsia="zh-CN"/>
        </w:rPr>
        <w:t>2、2025年度红十字事业发展补助资金项目绩效自评表</w:t>
      </w:r>
    </w:p>
    <w:p>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1600" w:firstLineChars="500"/>
        <w:textAlignment w:val="auto"/>
        <w:outlineLvl w:val="9"/>
        <w:rPr>
          <w:rFonts w:hint="eastAsia" w:ascii="仿宋_GB2312" w:hAnsi="仿宋_GB2312" w:eastAsia="仿宋_GB2312" w:cs="仿宋_GB2312"/>
          <w:bCs/>
          <w:color w:val="000000"/>
          <w:kern w:val="0"/>
          <w:sz w:val="32"/>
          <w:szCs w:val="32"/>
          <w:lang w:val="en-US" w:eastAsia="zh-CN"/>
        </w:rPr>
      </w:pPr>
      <w:r>
        <w:rPr>
          <w:rFonts w:hint="eastAsia" w:ascii="仿宋_GB2312" w:hAnsi="仿宋_GB2312" w:eastAsia="仿宋_GB2312" w:cs="仿宋_GB2312"/>
          <w:bCs/>
          <w:color w:val="000000"/>
          <w:kern w:val="0"/>
          <w:sz w:val="32"/>
          <w:szCs w:val="32"/>
          <w:lang w:val="en-US" w:eastAsia="zh-CN"/>
        </w:rPr>
        <w:t>3、2025年度三救三献项目绩效自评表</w:t>
      </w: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keepNext w:val="0"/>
        <w:keepLines w:val="0"/>
        <w:pageBreakBefore w:val="0"/>
        <w:widowControl w:val="0"/>
        <w:kinsoku w:val="0"/>
        <w:wordWrap/>
        <w:overflowPunct/>
        <w:topLinePunct w:val="0"/>
        <w:autoSpaceDE w:val="0"/>
        <w:autoSpaceDN w:val="0"/>
        <w:bidi w:val="0"/>
        <w:adjustRightInd w:val="0"/>
        <w:snapToGrid w:val="0"/>
        <w:spacing w:line="216" w:lineRule="auto"/>
        <w:ind w:left="0"/>
        <w:textAlignment w:val="baseline"/>
        <w:rPr>
          <w:rFonts w:hint="eastAsia" w:ascii="黑体" w:hAnsi="黑体" w:eastAsia="黑体" w:cs="黑体"/>
          <w:b w:val="0"/>
          <w:bCs w:val="0"/>
          <w:color w:val="000000"/>
          <w:sz w:val="32"/>
          <w:szCs w:val="32"/>
          <w:lang w:eastAsia="zh-CN"/>
        </w:rPr>
      </w:pPr>
      <w:r>
        <w:rPr>
          <w:rFonts w:hint="eastAsia" w:ascii="黑体" w:hAnsi="黑体" w:eastAsia="黑体" w:cs="黑体"/>
          <w:b w:val="0"/>
          <w:bCs w:val="0"/>
          <w:color w:val="000000"/>
          <w:spacing w:val="-14"/>
          <w:sz w:val="32"/>
          <w:szCs w:val="32"/>
        </w:rPr>
        <w:t>附件</w:t>
      </w:r>
      <w:r>
        <w:rPr>
          <w:rFonts w:hint="eastAsia" w:ascii="黑体" w:hAnsi="黑体" w:eastAsia="黑体" w:cs="黑体"/>
          <w:b w:val="0"/>
          <w:bCs w:val="0"/>
          <w:color w:val="000000"/>
          <w:spacing w:val="-14"/>
          <w:sz w:val="32"/>
          <w:szCs w:val="32"/>
          <w:lang w:val="en-US" w:eastAsia="zh-CN"/>
        </w:rPr>
        <w:t>1</w:t>
      </w:r>
    </w:p>
    <w:p>
      <w:pPr>
        <w:keepNext w:val="0"/>
        <w:keepLines w:val="0"/>
        <w:pageBreakBefore w:val="0"/>
        <w:widowControl w:val="0"/>
        <w:kinsoku w:val="0"/>
        <w:wordWrap/>
        <w:overflowPunct/>
        <w:topLinePunct w:val="0"/>
        <w:autoSpaceDE w:val="0"/>
        <w:autoSpaceDN w:val="0"/>
        <w:bidi w:val="0"/>
        <w:adjustRightInd w:val="0"/>
        <w:snapToGrid w:val="0"/>
        <w:spacing w:line="216" w:lineRule="auto"/>
        <w:ind w:left="0"/>
        <w:jc w:val="center"/>
        <w:textAlignment w:val="baseline"/>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lang w:eastAsia="zh-CN"/>
        </w:rPr>
        <w:t>2025</w:t>
      </w:r>
      <w:r>
        <w:rPr>
          <w:rFonts w:hint="eastAsia" w:ascii="方正小标宋简体" w:hAnsi="方正小标宋简体" w:eastAsia="方正小标宋简体" w:cs="方正小标宋简体"/>
          <w:b w:val="0"/>
          <w:bCs w:val="0"/>
          <w:color w:val="000000"/>
          <w:sz w:val="44"/>
          <w:szCs w:val="44"/>
        </w:rPr>
        <w:t>年度</w:t>
      </w:r>
      <w:r>
        <w:rPr>
          <w:rFonts w:hint="eastAsia" w:ascii="方正小标宋简体" w:hAnsi="方正小标宋简体" w:eastAsia="方正小标宋简体" w:cs="方正小标宋简体"/>
          <w:b w:val="0"/>
          <w:bCs w:val="0"/>
          <w:color w:val="000000"/>
          <w:sz w:val="44"/>
          <w:szCs w:val="44"/>
          <w:lang w:val="en-US" w:eastAsia="zh-CN"/>
        </w:rPr>
        <w:t>市红十字会</w:t>
      </w:r>
      <w:r>
        <w:rPr>
          <w:rFonts w:hint="eastAsia" w:ascii="方正小标宋简体" w:hAnsi="方正小标宋简体" w:eastAsia="方正小标宋简体" w:cs="方正小标宋简体"/>
          <w:b w:val="0"/>
          <w:bCs w:val="0"/>
          <w:color w:val="000000"/>
          <w:sz w:val="44"/>
          <w:szCs w:val="44"/>
        </w:rPr>
        <w:t>部门整体绩效自评表</w:t>
      </w:r>
    </w:p>
    <w:p>
      <w:pPr>
        <w:keepNext w:val="0"/>
        <w:keepLines w:val="0"/>
        <w:pageBreakBefore w:val="0"/>
        <w:widowControl w:val="0"/>
        <w:kinsoku w:val="0"/>
        <w:wordWrap/>
        <w:overflowPunct/>
        <w:topLinePunct w:val="0"/>
        <w:autoSpaceDE w:val="0"/>
        <w:autoSpaceDN w:val="0"/>
        <w:bidi w:val="0"/>
        <w:adjustRightInd w:val="0"/>
        <w:snapToGrid w:val="0"/>
        <w:spacing w:line="216" w:lineRule="auto"/>
        <w:ind w:firstLine="5292" w:firstLineChars="2100"/>
        <w:textAlignment w:val="baseline"/>
        <w:rPr>
          <w:rFonts w:hint="default" w:ascii="楷体" w:hAnsi="楷体" w:eastAsia="楷体" w:cs="楷体"/>
          <w:color w:val="000000"/>
          <w:sz w:val="26"/>
          <w:szCs w:val="26"/>
          <w:lang w:val="en-US" w:eastAsia="zh-CN"/>
        </w:rPr>
      </w:pPr>
      <w:r>
        <w:rPr>
          <w:rFonts w:ascii="楷体" w:hAnsi="楷体" w:eastAsia="楷体" w:cs="楷体"/>
          <w:color w:val="000000"/>
          <w:spacing w:val="-4"/>
          <w:sz w:val="26"/>
          <w:szCs w:val="26"/>
        </w:rPr>
        <w:t>填报日期：</w:t>
      </w:r>
      <w:r>
        <w:rPr>
          <w:rFonts w:hint="eastAsia" w:ascii="楷体" w:hAnsi="楷体" w:eastAsia="楷体" w:cs="楷体"/>
          <w:color w:val="000000"/>
          <w:spacing w:val="-4"/>
          <w:sz w:val="26"/>
          <w:szCs w:val="26"/>
          <w:lang w:val="en-US" w:eastAsia="zh-CN"/>
        </w:rPr>
        <w:t>2026年9月15日</w:t>
      </w:r>
    </w:p>
    <w:tbl>
      <w:tblPr>
        <w:tblStyle w:val="8"/>
        <w:tblpPr w:leftFromText="180" w:rightFromText="180" w:vertAnchor="text" w:horzAnchor="page" w:tblpX="1577" w:tblpY="100"/>
        <w:tblOverlap w:val="never"/>
        <w:tblW w:w="941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1"/>
        <w:gridCol w:w="1286"/>
        <w:gridCol w:w="1591"/>
        <w:gridCol w:w="2327"/>
        <w:gridCol w:w="1653"/>
        <w:gridCol w:w="1699"/>
        <w:gridCol w:w="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2147" w:type="dxa"/>
            <w:gridSpan w:val="2"/>
            <w:noWrap w:val="0"/>
            <w:vAlign w:val="center"/>
          </w:tcPr>
          <w:p>
            <w:pPr>
              <w:keepNext w:val="0"/>
              <w:keepLines w:val="0"/>
              <w:pageBreakBefore w:val="0"/>
              <w:widowControl w:val="0"/>
              <w:wordWrap/>
              <w:overflowPunct/>
              <w:topLinePunct w:val="0"/>
              <w:bidi w:val="0"/>
              <w:adjustRightInd w:val="0"/>
              <w:snapToGrid w:val="0"/>
              <w:spacing w:before="74" w:line="220" w:lineRule="auto"/>
              <w:ind w:left="635"/>
              <w:jc w:val="both"/>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单位名称</w:t>
            </w:r>
          </w:p>
        </w:tc>
        <w:tc>
          <w:tcPr>
            <w:tcW w:w="7270" w:type="dxa"/>
            <w:gridSpan w:val="4"/>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仙桃市红十字会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2147" w:type="dxa"/>
            <w:gridSpan w:val="2"/>
            <w:noWrap w:val="0"/>
            <w:vAlign w:val="center"/>
          </w:tcPr>
          <w:p>
            <w:pPr>
              <w:keepNext w:val="0"/>
              <w:keepLines w:val="0"/>
              <w:pageBreakBefore w:val="0"/>
              <w:widowControl w:val="0"/>
              <w:wordWrap/>
              <w:overflowPunct/>
              <w:topLinePunct w:val="0"/>
              <w:bidi w:val="0"/>
              <w:adjustRightInd w:val="0"/>
              <w:snapToGrid w:val="0"/>
              <w:spacing w:before="97" w:line="219" w:lineRule="auto"/>
              <w:ind w:left="414"/>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基本支出总额</w:t>
            </w:r>
          </w:p>
        </w:tc>
        <w:tc>
          <w:tcPr>
            <w:tcW w:w="3918" w:type="dxa"/>
            <w:gridSpan w:val="2"/>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101.90</w:t>
            </w:r>
          </w:p>
        </w:tc>
        <w:tc>
          <w:tcPr>
            <w:tcW w:w="1653" w:type="dxa"/>
            <w:noWrap w:val="0"/>
            <w:vAlign w:val="center"/>
          </w:tcPr>
          <w:p>
            <w:pPr>
              <w:keepNext w:val="0"/>
              <w:keepLines w:val="0"/>
              <w:pageBreakBefore w:val="0"/>
              <w:widowControl w:val="0"/>
              <w:wordWrap/>
              <w:overflowPunct/>
              <w:topLinePunct w:val="0"/>
              <w:bidi w:val="0"/>
              <w:adjustRightInd w:val="0"/>
              <w:snapToGrid w:val="0"/>
              <w:spacing w:before="99" w:line="219" w:lineRule="auto"/>
              <w:ind w:left="115"/>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项目支出总额</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53.09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2147" w:type="dxa"/>
            <w:gridSpan w:val="2"/>
            <w:noWrap w:val="0"/>
            <w:vAlign w:val="center"/>
          </w:tcPr>
          <w:p>
            <w:pPr>
              <w:keepNext w:val="0"/>
              <w:keepLines w:val="0"/>
              <w:pageBreakBefore w:val="0"/>
              <w:widowControl w:val="0"/>
              <w:wordWrap/>
              <w:overflowPunct/>
              <w:topLinePunct w:val="0"/>
              <w:bidi w:val="0"/>
              <w:adjustRightInd w:val="0"/>
              <w:snapToGrid w:val="0"/>
              <w:spacing w:before="59" w:line="219" w:lineRule="auto"/>
              <w:ind w:left="635"/>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年度目标</w:t>
            </w:r>
          </w:p>
        </w:tc>
        <w:tc>
          <w:tcPr>
            <w:tcW w:w="7270" w:type="dxa"/>
            <w:gridSpan w:val="4"/>
            <w:noWrap w:val="0"/>
            <w:vAlign w:val="center"/>
          </w:tcPr>
          <w:p>
            <w:pPr>
              <w:pStyle w:val="9"/>
              <w:keepNext w:val="0"/>
              <w:keepLines w:val="0"/>
              <w:pageBreakBefore w:val="0"/>
              <w:widowControl w:val="0"/>
              <w:wordWrap/>
              <w:overflowPunct/>
              <w:topLinePunct w:val="0"/>
              <w:bidi w:val="0"/>
              <w:adjustRightInd w:val="0"/>
              <w:snapToGrid w:val="0"/>
              <w:jc w:val="lef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根据</w:t>
            </w:r>
            <w:r>
              <w:rPr>
                <w:rFonts w:hint="eastAsia" w:ascii="仿宋_GB2312" w:hAnsi="仿宋_GB2312" w:eastAsia="仿宋_GB2312" w:cs="仿宋_GB2312"/>
                <w:color w:val="000000" w:themeColor="text1"/>
                <w:lang w:eastAsia="zh-CN"/>
                <w14:textFill>
                  <w14:solidFill>
                    <w14:schemeClr w14:val="tx1"/>
                  </w14:solidFill>
                </w14:textFill>
              </w:rPr>
              <w:t>2025</w:t>
            </w:r>
            <w:r>
              <w:rPr>
                <w:rFonts w:hint="eastAsia" w:ascii="仿宋_GB2312" w:hAnsi="仿宋_GB2312" w:eastAsia="仿宋_GB2312" w:cs="仿宋_GB2312"/>
                <w:color w:val="000000" w:themeColor="text1"/>
                <w14:textFill>
                  <w14:solidFill>
                    <w14:schemeClr w14:val="tx1"/>
                  </w14:solidFill>
                </w14:textFill>
              </w:rPr>
              <w:t>年度市红十字会部门整体支出绩效目标申报表、相关年度工作计划，市红十字会</w:t>
            </w:r>
            <w:r>
              <w:rPr>
                <w:rFonts w:hint="eastAsia" w:ascii="仿宋_GB2312" w:hAnsi="仿宋_GB2312" w:eastAsia="仿宋_GB2312" w:cs="仿宋_GB2312"/>
                <w:color w:val="000000" w:themeColor="text1"/>
                <w:lang w:eastAsia="zh-CN"/>
                <w14:textFill>
                  <w14:solidFill>
                    <w14:schemeClr w14:val="tx1"/>
                  </w14:solidFill>
                </w14:textFill>
              </w:rPr>
              <w:t>2025</w:t>
            </w:r>
            <w:r>
              <w:rPr>
                <w:rFonts w:hint="eastAsia" w:ascii="仿宋_GB2312" w:hAnsi="仿宋_GB2312" w:eastAsia="仿宋_GB2312" w:cs="仿宋_GB2312"/>
                <w:color w:val="000000" w:themeColor="text1"/>
                <w14:textFill>
                  <w14:solidFill>
                    <w14:schemeClr w14:val="tx1"/>
                  </w14:solidFill>
                </w14:textFill>
              </w:rPr>
              <w:t>年度整体绩效目标为：</w:t>
            </w:r>
          </w:p>
          <w:p>
            <w:pPr>
              <w:pStyle w:val="9"/>
              <w:keepNext w:val="0"/>
              <w:keepLines w:val="0"/>
              <w:pageBreakBefore w:val="0"/>
              <w:widowControl w:val="0"/>
              <w:wordWrap/>
              <w:overflowPunct/>
              <w:topLinePunct w:val="0"/>
              <w:bidi w:val="0"/>
              <w:adjustRightInd w:val="0"/>
              <w:snapToGrid w:val="0"/>
              <w:jc w:val="left"/>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1.加强应急救援能力建设。2.高质量做好应急救护工作和品牌创建工作。3、拓展人道救助项目。4.持续推动“三献”宣传和志愿者登记。5.提升人道资源动员能力。6.加强红十字基层组织建设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restart"/>
            <w:noWrap w:val="0"/>
            <w:vAlign w:val="center"/>
          </w:tcPr>
          <w:p>
            <w:pPr>
              <w:keepNext w:val="0"/>
              <w:keepLines w:val="0"/>
              <w:pageBreakBefore w:val="0"/>
              <w:widowControl w:val="0"/>
              <w:wordWrap/>
              <w:overflowPunct/>
              <w:topLinePunct w:val="0"/>
              <w:bidi w:val="0"/>
              <w:adjustRightInd w:val="0"/>
              <w:snapToGrid w:val="0"/>
              <w:spacing w:before="71" w:line="219" w:lineRule="auto"/>
              <w:ind w:left="260"/>
              <w:jc w:val="center"/>
              <w:rPr>
                <w:rFonts w:hint="eastAsia" w:ascii="仿宋_GB2312" w:hAnsi="仿宋_GB2312" w:eastAsia="仿宋_GB2312" w:cs="仿宋_GB2312"/>
                <w:color w:val="000000" w:themeColor="text1"/>
                <w:spacing w:val="1"/>
                <w:sz w:val="22"/>
                <w:szCs w:val="22"/>
                <w14:textFill>
                  <w14:solidFill>
                    <w14:schemeClr w14:val="tx1"/>
                  </w14:solidFill>
                </w14:textFill>
              </w:rPr>
            </w:pPr>
          </w:p>
          <w:p>
            <w:pPr>
              <w:keepNext w:val="0"/>
              <w:keepLines w:val="0"/>
              <w:pageBreakBefore w:val="0"/>
              <w:widowControl w:val="0"/>
              <w:wordWrap/>
              <w:overflowPunct/>
              <w:topLinePunct w:val="0"/>
              <w:bidi w:val="0"/>
              <w:adjustRightInd w:val="0"/>
              <w:snapToGrid w:val="0"/>
              <w:spacing w:before="71" w:line="219" w:lineRule="auto"/>
              <w:ind w:left="260"/>
              <w:jc w:val="cente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pPr>
          </w:p>
          <w:p>
            <w:pPr>
              <w:keepNext w:val="0"/>
              <w:keepLines w:val="0"/>
              <w:pageBreakBefore w:val="0"/>
              <w:widowControl w:val="0"/>
              <w:wordWrap/>
              <w:overflowPunct/>
              <w:topLinePunct w:val="0"/>
              <w:bidi w:val="0"/>
              <w:adjustRightInd w:val="0"/>
              <w:snapToGrid w:val="0"/>
              <w:spacing w:before="71" w:line="219" w:lineRule="auto"/>
              <w:ind w:left="260"/>
              <w:jc w:val="cente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pPr>
          </w:p>
          <w:p>
            <w:pPr>
              <w:keepNext w:val="0"/>
              <w:keepLines w:val="0"/>
              <w:pageBreakBefore w:val="0"/>
              <w:widowControl w:val="0"/>
              <w:wordWrap/>
              <w:overflowPunct/>
              <w:topLinePunct w:val="0"/>
              <w:bidi w:val="0"/>
              <w:adjustRightInd w:val="0"/>
              <w:snapToGrid w:val="0"/>
              <w:spacing w:before="71" w:line="219" w:lineRule="auto"/>
              <w:ind w:left="260"/>
              <w:jc w:val="cente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pPr>
          </w:p>
          <w:p>
            <w:pPr>
              <w:keepNext w:val="0"/>
              <w:keepLines w:val="0"/>
              <w:pageBreakBefore w:val="0"/>
              <w:widowControl w:val="0"/>
              <w:wordWrap/>
              <w:overflowPunct/>
              <w:topLinePunct w:val="0"/>
              <w:bidi w:val="0"/>
              <w:adjustRightInd w:val="0"/>
              <w:snapToGrid w:val="0"/>
              <w:spacing w:before="71" w:line="219" w:lineRule="auto"/>
              <w:ind w:left="260"/>
              <w:jc w:val="cente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pPr>
          </w:p>
          <w:p>
            <w:pPr>
              <w:keepNext w:val="0"/>
              <w:keepLines w:val="0"/>
              <w:pageBreakBefore w:val="0"/>
              <w:widowControl w:val="0"/>
              <w:wordWrap/>
              <w:overflowPunct/>
              <w:topLinePunct w:val="0"/>
              <w:bidi w:val="0"/>
              <w:adjustRightInd w:val="0"/>
              <w:snapToGrid w:val="0"/>
              <w:spacing w:before="71" w:line="219" w:lineRule="auto"/>
              <w:ind w:left="260"/>
              <w:jc w:val="cente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pPr>
          </w:p>
          <w:p>
            <w:pPr>
              <w:keepNext w:val="0"/>
              <w:keepLines w:val="0"/>
              <w:pageBreakBefore w:val="0"/>
              <w:widowControl w:val="0"/>
              <w:wordWrap/>
              <w:overflowPunct/>
              <w:topLinePunct w:val="0"/>
              <w:bidi w:val="0"/>
              <w:adjustRightInd w:val="0"/>
              <w:snapToGrid w:val="0"/>
              <w:spacing w:before="71" w:line="219" w:lineRule="auto"/>
              <w:ind w:left="260"/>
              <w:jc w:val="cente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pPr>
          </w:p>
          <w:p>
            <w:pPr>
              <w:keepNext w:val="0"/>
              <w:keepLines w:val="0"/>
              <w:pageBreakBefore w:val="0"/>
              <w:widowControl w:val="0"/>
              <w:wordWrap/>
              <w:overflowPunct/>
              <w:topLinePunct w:val="0"/>
              <w:bidi w:val="0"/>
              <w:adjustRightInd w:val="0"/>
              <w:snapToGrid w:val="0"/>
              <w:spacing w:before="71" w:line="219" w:lineRule="auto"/>
              <w:jc w:val="cente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pPr>
            <w: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t>年度</w:t>
            </w:r>
          </w:p>
          <w:p>
            <w:pPr>
              <w:keepNext w:val="0"/>
              <w:keepLines w:val="0"/>
              <w:pageBreakBefore w:val="0"/>
              <w:widowControl w:val="0"/>
              <w:wordWrap/>
              <w:overflowPunct/>
              <w:topLinePunct w:val="0"/>
              <w:bidi w:val="0"/>
              <w:adjustRightInd w:val="0"/>
              <w:snapToGrid w:val="0"/>
              <w:spacing w:before="71" w:line="219" w:lineRule="auto"/>
              <w:jc w:val="cente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pPr>
            <w: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t>绩效</w:t>
            </w:r>
          </w:p>
          <w:p>
            <w:pPr>
              <w:keepNext w:val="0"/>
              <w:keepLines w:val="0"/>
              <w:pageBreakBefore w:val="0"/>
              <w:widowControl w:val="0"/>
              <w:wordWrap/>
              <w:overflowPunct/>
              <w:topLinePunct w:val="0"/>
              <w:bidi w:val="0"/>
              <w:adjustRightInd w:val="0"/>
              <w:snapToGrid w:val="0"/>
              <w:spacing w:before="71" w:line="219" w:lineRule="auto"/>
              <w:jc w:val="cente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pPr>
            <w:r>
              <w:rPr>
                <w:rFonts w:hint="eastAsia" w:ascii="仿宋_GB2312" w:hAnsi="仿宋_GB2312" w:eastAsia="仿宋_GB2312" w:cs="仿宋_GB2312"/>
                <w:color w:val="000000" w:themeColor="text1"/>
                <w:spacing w:val="1"/>
                <w:sz w:val="22"/>
                <w:szCs w:val="22"/>
                <w:lang w:eastAsia="zh-CN"/>
                <w14:textFill>
                  <w14:solidFill>
                    <w14:schemeClr w14:val="tx1"/>
                  </w14:solidFill>
                </w14:textFill>
              </w:rPr>
              <w:t>指标</w:t>
            </w:r>
          </w:p>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tc>
        <w:tc>
          <w:tcPr>
            <w:tcW w:w="1286" w:type="dxa"/>
            <w:noWrap w:val="0"/>
            <w:vAlign w:val="center"/>
          </w:tcPr>
          <w:p>
            <w:pPr>
              <w:keepNext w:val="0"/>
              <w:keepLines w:val="0"/>
              <w:pageBreakBefore w:val="0"/>
              <w:widowControl w:val="0"/>
              <w:wordWrap/>
              <w:overflowPunct/>
              <w:topLinePunct w:val="0"/>
              <w:bidi w:val="0"/>
              <w:adjustRightInd w:val="0"/>
              <w:snapToGrid w:val="0"/>
              <w:spacing w:before="229" w:line="220" w:lineRule="auto"/>
              <w:ind w:left="260"/>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lang w:val="en-US" w:eastAsia="zh-CN"/>
                <w14:textFill>
                  <w14:solidFill>
                    <w14:schemeClr w14:val="tx1"/>
                  </w14:solidFill>
                </w14:textFill>
              </w:rPr>
              <w:t>一</w:t>
            </w:r>
            <w:r>
              <w:rPr>
                <w:rFonts w:hint="eastAsia" w:ascii="仿宋_GB2312" w:hAnsi="仿宋_GB2312" w:eastAsia="仿宋_GB2312" w:cs="仿宋_GB2312"/>
                <w:color w:val="000000" w:themeColor="text1"/>
                <w:spacing w:val="2"/>
                <w:sz w:val="22"/>
                <w:szCs w:val="22"/>
                <w14:textFill>
                  <w14:solidFill>
                    <w14:schemeClr w14:val="tx1"/>
                  </w14:solidFill>
                </w14:textFill>
              </w:rPr>
              <w:t>级指标</w:t>
            </w:r>
          </w:p>
        </w:tc>
        <w:tc>
          <w:tcPr>
            <w:tcW w:w="1591" w:type="dxa"/>
            <w:noWrap w:val="0"/>
            <w:vAlign w:val="center"/>
          </w:tcPr>
          <w:p>
            <w:pPr>
              <w:keepNext w:val="0"/>
              <w:keepLines w:val="0"/>
              <w:pageBreakBefore w:val="0"/>
              <w:widowControl w:val="0"/>
              <w:wordWrap/>
              <w:overflowPunct/>
              <w:topLinePunct w:val="0"/>
              <w:bidi w:val="0"/>
              <w:adjustRightInd w:val="0"/>
              <w:snapToGrid w:val="0"/>
              <w:spacing w:before="229" w:line="220" w:lineRule="auto"/>
              <w:ind w:left="260" w:leftChars="0"/>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二级指标</w:t>
            </w:r>
          </w:p>
        </w:tc>
        <w:tc>
          <w:tcPr>
            <w:tcW w:w="2327" w:type="dxa"/>
            <w:noWrap w:val="0"/>
            <w:vAlign w:val="center"/>
          </w:tcPr>
          <w:p>
            <w:pPr>
              <w:keepNext w:val="0"/>
              <w:keepLines w:val="0"/>
              <w:pageBreakBefore w:val="0"/>
              <w:widowControl w:val="0"/>
              <w:wordWrap/>
              <w:overflowPunct/>
              <w:topLinePunct w:val="0"/>
              <w:bidi w:val="0"/>
              <w:adjustRightInd w:val="0"/>
              <w:snapToGrid w:val="0"/>
              <w:spacing w:before="229" w:line="220" w:lineRule="auto"/>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三级指标</w:t>
            </w:r>
          </w:p>
        </w:tc>
        <w:tc>
          <w:tcPr>
            <w:tcW w:w="1653" w:type="dxa"/>
            <w:noWrap w:val="0"/>
            <w:vAlign w:val="center"/>
          </w:tcPr>
          <w:p>
            <w:pPr>
              <w:keepNext w:val="0"/>
              <w:keepLines w:val="0"/>
              <w:pageBreakBefore w:val="0"/>
              <w:widowControl w:val="0"/>
              <w:wordWrap/>
              <w:overflowPunct/>
              <w:topLinePunct w:val="0"/>
              <w:bidi w:val="0"/>
              <w:adjustRightInd w:val="0"/>
              <w:snapToGrid w:val="0"/>
              <w:spacing w:before="229" w:line="219" w:lineRule="auto"/>
              <w:ind w:left="55"/>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6"/>
                <w:sz w:val="22"/>
                <w:szCs w:val="22"/>
                <w14:textFill>
                  <w14:solidFill>
                    <w14:schemeClr w14:val="tx1"/>
                  </w14:solidFill>
                </w14:textFill>
              </w:rPr>
              <w:t>年初目标值(a)</w:t>
            </w:r>
          </w:p>
        </w:tc>
        <w:tc>
          <w:tcPr>
            <w:tcW w:w="1699" w:type="dxa"/>
            <w:noWrap w:val="0"/>
            <w:vAlign w:val="center"/>
          </w:tcPr>
          <w:p>
            <w:pPr>
              <w:keepNext w:val="0"/>
              <w:keepLines w:val="0"/>
              <w:pageBreakBefore w:val="0"/>
              <w:widowControl w:val="0"/>
              <w:wordWrap/>
              <w:overflowPunct/>
              <w:topLinePunct w:val="0"/>
              <w:bidi w:val="0"/>
              <w:adjustRightInd w:val="0"/>
              <w:snapToGrid w:val="0"/>
              <w:spacing w:before="229" w:line="219" w:lineRule="auto"/>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6"/>
                <w:sz w:val="22"/>
                <w:szCs w:val="22"/>
                <w14:textFill>
                  <w14:solidFill>
                    <w14:schemeClr w14:val="tx1"/>
                  </w14:solidFill>
                </w14:textFill>
              </w:rPr>
              <w:t>实际完成值(</w:t>
            </w:r>
            <w:r>
              <w:rPr>
                <w:rFonts w:hint="eastAsia" w:ascii="仿宋_GB2312" w:hAnsi="仿宋_GB2312" w:eastAsia="仿宋_GB2312" w:cs="仿宋_GB2312"/>
                <w:color w:val="000000" w:themeColor="text1"/>
                <w:spacing w:val="-16"/>
                <w:sz w:val="22"/>
                <w:szCs w:val="22"/>
                <w:lang w:val="en-US" w:eastAsia="zh-CN"/>
                <w14:textFill>
                  <w14:solidFill>
                    <w14:schemeClr w14:val="tx1"/>
                  </w14:solidFill>
                </w14:textFill>
              </w:rPr>
              <w:t>b</w:t>
            </w:r>
            <w:r>
              <w:rPr>
                <w:rFonts w:hint="eastAsia" w:ascii="仿宋_GB2312" w:hAnsi="仿宋_GB2312" w:eastAsia="仿宋_GB2312" w:cs="仿宋_GB2312"/>
                <w:color w:val="000000" w:themeColor="text1"/>
                <w:spacing w:val="-16"/>
                <w:sz w:val="22"/>
                <w:szCs w:val="22"/>
                <w14:textFill>
                  <w14:solidFill>
                    <w14:schemeClr w14:val="tx1"/>
                  </w14:solidFill>
                </w14:textFill>
              </w:rPr>
              <w:t>)</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restart"/>
            <w:noWrap w:val="0"/>
            <w:vAlign w:val="center"/>
          </w:tcPr>
          <w:p>
            <w:pPr>
              <w:keepNext w:val="0"/>
              <w:keepLines w:val="0"/>
              <w:pageBreakBefore w:val="0"/>
              <w:widowControl w:val="0"/>
              <w:wordWrap/>
              <w:overflowPunct/>
              <w:topLinePunct w:val="0"/>
              <w:bidi w:val="0"/>
              <w:adjustRightInd w:val="0"/>
              <w:snapToGrid w:val="0"/>
              <w:spacing w:before="72" w:line="220" w:lineRule="auto"/>
              <w:ind w:left="480" w:right="37" w:hanging="44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lang w:val="en-US" w:eastAsia="zh-CN"/>
                <w14:textFill>
                  <w14:solidFill>
                    <w14:schemeClr w14:val="tx1"/>
                  </w14:solidFill>
                </w14:textFill>
              </w:rPr>
              <w:t>运行成本</w:t>
            </w:r>
          </w:p>
        </w:tc>
        <w:tc>
          <w:tcPr>
            <w:tcW w:w="1591" w:type="dxa"/>
            <w:noWrap w:val="0"/>
            <w:vAlign w:val="center"/>
          </w:tcPr>
          <w:p>
            <w:pPr>
              <w:keepNext w:val="0"/>
              <w:keepLines w:val="0"/>
              <w:pageBreakBefore w:val="0"/>
              <w:widowControl w:val="0"/>
              <w:wordWrap/>
              <w:overflowPunct/>
              <w:topLinePunct w:val="0"/>
              <w:bidi w:val="0"/>
              <w:adjustRightInd w:val="0"/>
              <w:snapToGrid w:val="0"/>
              <w:spacing w:before="170" w:line="220" w:lineRule="auto"/>
              <w:ind w:left="40" w:leftChars="0"/>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3"/>
                <w:sz w:val="22"/>
                <w:szCs w:val="22"/>
                <w14:textFill>
                  <w14:solidFill>
                    <w14:schemeClr w14:val="tx1"/>
                  </w14:solidFill>
                </w14:textFill>
              </w:rPr>
              <w:t>公用经费控制</w:t>
            </w:r>
          </w:p>
        </w:tc>
        <w:tc>
          <w:tcPr>
            <w:tcW w:w="2327" w:type="dxa"/>
            <w:noWrap w:val="0"/>
            <w:vAlign w:val="center"/>
          </w:tcPr>
          <w:p>
            <w:pPr>
              <w:keepNext w:val="0"/>
              <w:keepLines w:val="0"/>
              <w:pageBreakBefore w:val="0"/>
              <w:widowControl w:val="0"/>
              <w:wordWrap/>
              <w:overflowPunct/>
              <w:topLinePunct w:val="0"/>
              <w:bidi w:val="0"/>
              <w:adjustRightInd w:val="0"/>
              <w:snapToGrid w:val="0"/>
              <w:spacing w:before="170" w:line="219" w:lineRule="auto"/>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公用经费控制率</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≤100%</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keepNext w:val="0"/>
              <w:keepLines w:val="0"/>
              <w:pageBreakBefore w:val="0"/>
              <w:widowControl w:val="0"/>
              <w:wordWrap/>
              <w:overflowPunct/>
              <w:topLinePunct w:val="0"/>
              <w:bidi w:val="0"/>
              <w:adjustRightInd w:val="0"/>
              <w:snapToGrid w:val="0"/>
              <w:spacing w:before="171" w:line="220" w:lineRule="auto"/>
              <w:ind w:left="4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noWrap w:val="0"/>
            <w:vAlign w:val="center"/>
          </w:tcPr>
          <w:p>
            <w:pPr>
              <w:keepNext w:val="0"/>
              <w:keepLines w:val="0"/>
              <w:pageBreakBefore w:val="0"/>
              <w:widowControl w:val="0"/>
              <w:wordWrap/>
              <w:overflowPunct/>
              <w:topLinePunct w:val="0"/>
              <w:bidi w:val="0"/>
              <w:adjustRightInd w:val="0"/>
              <w:snapToGrid w:val="0"/>
              <w:spacing w:before="171" w:line="220" w:lineRule="auto"/>
              <w:ind w:left="40" w:leftChars="0"/>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3"/>
                <w:sz w:val="22"/>
                <w:szCs w:val="22"/>
                <w14:textFill>
                  <w14:solidFill>
                    <w14:schemeClr w14:val="tx1"/>
                  </w14:solidFill>
                </w14:textFill>
              </w:rPr>
              <w:t>在职人员控制</w:t>
            </w:r>
          </w:p>
        </w:tc>
        <w:tc>
          <w:tcPr>
            <w:tcW w:w="2327" w:type="dxa"/>
            <w:noWrap w:val="0"/>
            <w:vAlign w:val="center"/>
          </w:tcPr>
          <w:p>
            <w:pPr>
              <w:keepNext w:val="0"/>
              <w:keepLines w:val="0"/>
              <w:pageBreakBefore w:val="0"/>
              <w:widowControl w:val="0"/>
              <w:wordWrap/>
              <w:overflowPunct/>
              <w:topLinePunct w:val="0"/>
              <w:bidi w:val="0"/>
              <w:adjustRightInd w:val="0"/>
              <w:snapToGrid w:val="0"/>
              <w:spacing w:before="171" w:line="219" w:lineRule="auto"/>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在职人员控制率</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≤100%</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keepNext w:val="0"/>
              <w:keepLines w:val="0"/>
              <w:pageBreakBefore w:val="0"/>
              <w:widowControl w:val="0"/>
              <w:wordWrap/>
              <w:overflowPunct/>
              <w:topLinePunct w:val="0"/>
              <w:bidi w:val="0"/>
              <w:adjustRightInd w:val="0"/>
              <w:snapToGrid w:val="0"/>
              <w:spacing w:before="72" w:line="220" w:lineRule="auto"/>
              <w:ind w:left="480" w:right="37" w:hanging="44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noWrap w:val="0"/>
            <w:vAlign w:val="center"/>
          </w:tcPr>
          <w:p>
            <w:pPr>
              <w:keepNext w:val="0"/>
              <w:keepLines w:val="0"/>
              <w:pageBreakBefore w:val="0"/>
              <w:widowControl w:val="0"/>
              <w:wordWrap/>
              <w:overflowPunct/>
              <w:topLinePunct w:val="0"/>
              <w:bidi w:val="0"/>
              <w:adjustRightInd w:val="0"/>
              <w:snapToGrid w:val="0"/>
              <w:spacing w:before="72" w:line="204" w:lineRule="auto"/>
              <w:ind w:left="651" w:right="86" w:hanging="652"/>
              <w:jc w:val="center"/>
              <w:rPr>
                <w:rFonts w:hint="eastAsia" w:ascii="仿宋_GB2312" w:hAnsi="仿宋_GB2312" w:eastAsia="仿宋_GB2312" w:cs="仿宋_GB2312"/>
                <w:color w:val="000000" w:themeColor="text1"/>
                <w:spacing w:val="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项目支出成本</w:t>
            </w:r>
          </w:p>
          <w:p>
            <w:pPr>
              <w:keepNext w:val="0"/>
              <w:keepLines w:val="0"/>
              <w:pageBreakBefore w:val="0"/>
              <w:widowControl w:val="0"/>
              <w:wordWrap/>
              <w:overflowPunct/>
              <w:topLinePunct w:val="0"/>
              <w:bidi w:val="0"/>
              <w:adjustRightInd w:val="0"/>
              <w:snapToGrid w:val="0"/>
              <w:spacing w:before="72" w:line="204" w:lineRule="auto"/>
              <w:ind w:left="651" w:right="86" w:hanging="652"/>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9"/>
                <w:sz w:val="22"/>
                <w:szCs w:val="22"/>
                <w14:textFill>
                  <w14:solidFill>
                    <w14:schemeClr w14:val="tx1"/>
                  </w14:solidFill>
                </w14:textFill>
              </w:rPr>
              <w:t>控制</w:t>
            </w:r>
          </w:p>
        </w:tc>
        <w:tc>
          <w:tcPr>
            <w:tcW w:w="2327" w:type="dxa"/>
            <w:noWrap w:val="0"/>
            <w:vAlign w:val="center"/>
          </w:tcPr>
          <w:p>
            <w:pPr>
              <w:keepNext w:val="0"/>
              <w:keepLines w:val="0"/>
              <w:pageBreakBefore w:val="0"/>
              <w:widowControl w:val="0"/>
              <w:wordWrap/>
              <w:overflowPunct/>
              <w:topLinePunct w:val="0"/>
              <w:bidi w:val="0"/>
              <w:adjustRightInd w:val="0"/>
              <w:snapToGrid w:val="0"/>
              <w:spacing w:before="169" w:line="219" w:lineRule="auto"/>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会议费控制率</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≤0%</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591" w:type="dxa"/>
            <w:vMerge w:val="continue"/>
            <w:noWrap w:val="0"/>
            <w:vAlign w:val="center"/>
          </w:tcPr>
          <w:p>
            <w:pPr>
              <w:keepNext w:val="0"/>
              <w:keepLines w:val="0"/>
              <w:pageBreakBefore w:val="0"/>
              <w:widowControl w:val="0"/>
              <w:wordWrap/>
              <w:overflowPunct/>
              <w:topLinePunct w:val="0"/>
              <w:bidi w:val="0"/>
              <w:adjustRightInd w:val="0"/>
              <w:snapToGrid w:val="0"/>
              <w:spacing w:before="72" w:line="204" w:lineRule="auto"/>
              <w:ind w:left="651" w:right="86" w:hanging="652"/>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wordWrap/>
              <w:overflowPunct/>
              <w:topLinePunct w:val="0"/>
              <w:bidi w:val="0"/>
              <w:adjustRightInd w:val="0"/>
              <w:snapToGrid w:val="0"/>
              <w:spacing w:before="72" w:line="204" w:lineRule="auto"/>
              <w:ind w:left="651" w:leftChars="0" w:right="86" w:rightChars="0" w:hanging="652" w:firstLineChars="0"/>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14"/>
                <w:sz w:val="22"/>
                <w:szCs w:val="22"/>
                <w14:textFill>
                  <w14:solidFill>
                    <w14:schemeClr w14:val="tx1"/>
                  </w14:solidFill>
                </w14:textFill>
              </w:rPr>
              <w:t>“三公经费”变</w:t>
            </w:r>
            <w:r>
              <w:rPr>
                <w:rFonts w:hint="eastAsia" w:ascii="仿宋_GB2312" w:hAnsi="仿宋_GB2312" w:eastAsia="仿宋_GB2312" w:cs="仿宋_GB2312"/>
                <w:color w:val="000000" w:themeColor="text1"/>
                <w:spacing w:val="-4"/>
                <w:sz w:val="22"/>
                <w:szCs w:val="22"/>
                <w14:textFill>
                  <w14:solidFill>
                    <w14:schemeClr w14:val="tx1"/>
                  </w14:solidFill>
                </w14:textFill>
              </w:rPr>
              <w:t>动率</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≤0%</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restart"/>
            <w:noWrap w:val="0"/>
            <w:vAlign w:val="center"/>
          </w:tcPr>
          <w:p>
            <w:pPr>
              <w:keepNext w:val="0"/>
              <w:keepLines w:val="0"/>
              <w:pageBreakBefore w:val="0"/>
              <w:widowControl w:val="0"/>
              <w:wordWrap/>
              <w:overflowPunct/>
              <w:topLinePunct w:val="0"/>
              <w:bidi w:val="0"/>
              <w:adjustRightInd w:val="0"/>
              <w:snapToGrid w:val="0"/>
              <w:spacing w:before="72" w:line="219" w:lineRule="auto"/>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lang w:val="en-US" w:eastAsia="zh-CN"/>
                <w14:textFill>
                  <w14:solidFill>
                    <w14:schemeClr w14:val="tx1"/>
                  </w14:solidFill>
                </w14:textFill>
              </w:rPr>
              <w:t>管理效率</w:t>
            </w:r>
          </w:p>
        </w:tc>
        <w:tc>
          <w:tcPr>
            <w:tcW w:w="1591" w:type="dxa"/>
            <w:vMerge w:val="restart"/>
            <w:noWrap w:val="0"/>
            <w:vAlign w:val="center"/>
          </w:tcPr>
          <w:p>
            <w:pPr>
              <w:keepNext w:val="0"/>
              <w:keepLines w:val="0"/>
              <w:pageBreakBefore w:val="0"/>
              <w:widowControl w:val="0"/>
              <w:wordWrap/>
              <w:overflowPunct/>
              <w:topLinePunct w:val="0"/>
              <w:bidi w:val="0"/>
              <w:adjustRightInd w:val="0"/>
              <w:snapToGrid w:val="0"/>
              <w:spacing w:before="71" w:line="219" w:lineRule="auto"/>
              <w:ind w:left="260" w:leftChars="0"/>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战略管理</w:t>
            </w:r>
          </w:p>
        </w:tc>
        <w:tc>
          <w:tcPr>
            <w:tcW w:w="2327" w:type="dxa"/>
            <w:noWrap w:val="0"/>
            <w:vAlign w:val="center"/>
          </w:tcPr>
          <w:p>
            <w:pPr>
              <w:keepNext w:val="0"/>
              <w:keepLines w:val="0"/>
              <w:pageBreakBefore w:val="0"/>
              <w:widowControl w:val="0"/>
              <w:wordWrap/>
              <w:overflowPunct/>
              <w:topLinePunct w:val="0"/>
              <w:bidi w:val="0"/>
              <w:adjustRightInd w:val="0"/>
              <w:snapToGrid w:val="0"/>
              <w:spacing w:before="73" w:line="200" w:lineRule="auto"/>
              <w:ind w:right="87"/>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中长期规划相符</w:t>
            </w:r>
            <w:r>
              <w:rPr>
                <w:rFonts w:hint="eastAsia" w:ascii="仿宋_GB2312" w:hAnsi="仿宋_GB2312" w:eastAsia="仿宋_GB2312" w:cs="仿宋_GB2312"/>
                <w:color w:val="000000" w:themeColor="text1"/>
                <w:sz w:val="22"/>
                <w:szCs w:val="22"/>
                <w14:textFill>
                  <w14:solidFill>
                    <w14:schemeClr w14:val="tx1"/>
                  </w14:solidFill>
                </w14:textFill>
              </w:rPr>
              <w:t>性</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相符</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相符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591" w:type="dxa"/>
            <w:vMerge w:val="continue"/>
            <w:noWrap w:val="0"/>
            <w:vAlign w:val="center"/>
          </w:tcPr>
          <w:p>
            <w:pPr>
              <w:keepNext w:val="0"/>
              <w:keepLines w:val="0"/>
              <w:pageBreakBefore w:val="0"/>
              <w:widowControl w:val="0"/>
              <w:wordWrap/>
              <w:overflowPunct/>
              <w:topLinePunct w:val="0"/>
              <w:bidi w:val="0"/>
              <w:adjustRightInd w:val="0"/>
              <w:snapToGrid w:val="0"/>
              <w:spacing w:before="164" w:line="220" w:lineRule="auto"/>
              <w:ind w:left="91"/>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wordWrap/>
              <w:overflowPunct/>
              <w:topLinePunct w:val="0"/>
              <w:bidi w:val="0"/>
              <w:adjustRightInd w:val="0"/>
              <w:snapToGrid w:val="0"/>
              <w:spacing w:before="164" w:line="220" w:lineRule="auto"/>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工作计划健全性</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明确、具体、可操作</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明确、具体、可操作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keepNext w:val="0"/>
              <w:keepLines w:val="0"/>
              <w:pageBreakBefore w:val="0"/>
              <w:widowControl w:val="0"/>
              <w:wordWrap/>
              <w:overflowPunct/>
              <w:topLinePunct w:val="0"/>
              <w:bidi w:val="0"/>
              <w:adjustRightInd w:val="0"/>
              <w:snapToGrid w:val="0"/>
              <w:spacing w:before="72" w:line="219" w:lineRule="auto"/>
              <w:ind w:left="26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noWrap w:val="0"/>
            <w:vAlign w:val="center"/>
          </w:tcPr>
          <w:p>
            <w:pPr>
              <w:keepNext w:val="0"/>
              <w:keepLines w:val="0"/>
              <w:pageBreakBefore w:val="0"/>
              <w:widowControl w:val="0"/>
              <w:wordWrap/>
              <w:overflowPunct/>
              <w:topLinePunct w:val="0"/>
              <w:bidi w:val="0"/>
              <w:adjustRightInd w:val="0"/>
              <w:snapToGrid w:val="0"/>
              <w:spacing w:before="72" w:line="219" w:lineRule="auto"/>
              <w:ind w:left="260" w:leftChars="0"/>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4"/>
                <w:sz w:val="22"/>
                <w:szCs w:val="22"/>
                <w14:textFill>
                  <w14:solidFill>
                    <w14:schemeClr w14:val="tx1"/>
                  </w14:solidFill>
                </w14:textFill>
              </w:rPr>
              <w:t>预算编制</w:t>
            </w:r>
          </w:p>
        </w:tc>
        <w:tc>
          <w:tcPr>
            <w:tcW w:w="2327" w:type="dxa"/>
            <w:noWrap w:val="0"/>
            <w:vAlign w:val="center"/>
          </w:tcPr>
          <w:p>
            <w:pPr>
              <w:keepNext w:val="0"/>
              <w:keepLines w:val="0"/>
              <w:pageBreakBefore w:val="0"/>
              <w:widowControl w:val="0"/>
              <w:wordWrap/>
              <w:overflowPunct/>
              <w:topLinePunct w:val="0"/>
              <w:bidi w:val="0"/>
              <w:adjustRightInd w:val="0"/>
              <w:snapToGrid w:val="0"/>
              <w:spacing w:before="172" w:line="219" w:lineRule="auto"/>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预算编制科学性</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真实、完整、准确</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真实、完整、准确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591" w:type="dxa"/>
            <w:vMerge w:val="continue"/>
            <w:noWrap w:val="0"/>
            <w:vAlign w:val="center"/>
          </w:tcPr>
          <w:p>
            <w:pPr>
              <w:keepNext w:val="0"/>
              <w:keepLines w:val="0"/>
              <w:pageBreakBefore w:val="0"/>
              <w:widowControl w:val="0"/>
              <w:wordWrap/>
              <w:overflowPunct/>
              <w:topLinePunct w:val="0"/>
              <w:bidi w:val="0"/>
              <w:adjustRightInd w:val="0"/>
              <w:snapToGrid w:val="0"/>
              <w:spacing w:before="175" w:line="219" w:lineRule="auto"/>
              <w:ind w:left="91"/>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wordWrap/>
              <w:overflowPunct/>
              <w:topLinePunct w:val="0"/>
              <w:bidi w:val="0"/>
              <w:adjustRightInd w:val="0"/>
              <w:snapToGrid w:val="0"/>
              <w:spacing w:before="175" w:line="219" w:lineRule="auto"/>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预算编制合理性</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较为合理</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snapToGrid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较为合理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591" w:type="dxa"/>
            <w:vMerge w:val="continue"/>
            <w:noWrap w:val="0"/>
            <w:vAlign w:val="center"/>
          </w:tcPr>
          <w:p>
            <w:pPr>
              <w:keepNext w:val="0"/>
              <w:keepLines w:val="0"/>
              <w:pageBreakBefore w:val="0"/>
              <w:widowControl w:val="0"/>
              <w:wordWrap/>
              <w:overflowPunct/>
              <w:topLinePunct w:val="0"/>
              <w:bidi w:val="0"/>
              <w:adjustRightInd w:val="0"/>
              <w:snapToGrid w:val="0"/>
              <w:spacing w:before="175" w:line="220" w:lineRule="auto"/>
              <w:ind w:left="311"/>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wordWrap/>
              <w:overflowPunct/>
              <w:topLinePunct w:val="0"/>
              <w:bidi w:val="0"/>
              <w:adjustRightInd w:val="0"/>
              <w:snapToGrid w:val="0"/>
              <w:spacing w:before="175" w:line="220" w:lineRule="auto"/>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立项规范性</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依据充分、符合规定、经过可行性论证</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依据充分、符合规定、经过可行性论</w:t>
            </w:r>
            <w:bookmarkStart w:id="3" w:name="_GoBack"/>
            <w:bookmarkEnd w:id="3"/>
            <w:r>
              <w:rPr>
                <w:rFonts w:hint="eastAsia" w:ascii="仿宋_GB2312" w:hAnsi="仿宋_GB2312" w:eastAsia="仿宋_GB2312" w:cs="仿宋_GB2312"/>
                <w:color w:val="000000" w:themeColor="text1"/>
                <w:sz w:val="21"/>
                <w:szCs w:val="21"/>
                <w14:textFill>
                  <w14:solidFill>
                    <w14:schemeClr w14:val="tx1"/>
                  </w14:solidFill>
                </w14:textFill>
              </w:rPr>
              <w:t>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keepNext w:val="0"/>
              <w:keepLines w:val="0"/>
              <w:pageBreakBefore w:val="0"/>
              <w:widowControl w:val="0"/>
              <w:wordWrap/>
              <w:overflowPunct/>
              <w:topLinePunct w:val="0"/>
              <w:bidi w:val="0"/>
              <w:adjustRightInd w:val="0"/>
              <w:snapToGrid w:val="0"/>
              <w:spacing w:before="72" w:line="219" w:lineRule="auto"/>
              <w:ind w:left="26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noWrap w:val="0"/>
            <w:vAlign w:val="center"/>
          </w:tcPr>
          <w:p>
            <w:pPr>
              <w:keepNext w:val="0"/>
              <w:keepLines w:val="0"/>
              <w:pageBreakBefore w:val="0"/>
              <w:widowControl w:val="0"/>
              <w:wordWrap/>
              <w:overflowPunct/>
              <w:topLinePunct w:val="0"/>
              <w:bidi w:val="0"/>
              <w:adjustRightInd w:val="0"/>
              <w:snapToGrid w:val="0"/>
              <w:spacing w:before="72" w:line="219" w:lineRule="auto"/>
              <w:ind w:left="260" w:leftChars="0"/>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预算执行</w:t>
            </w:r>
          </w:p>
        </w:tc>
        <w:tc>
          <w:tcPr>
            <w:tcW w:w="2327" w:type="dxa"/>
            <w:noWrap w:val="0"/>
            <w:vAlign w:val="center"/>
          </w:tcPr>
          <w:p>
            <w:pPr>
              <w:keepNext w:val="0"/>
              <w:keepLines w:val="0"/>
              <w:pageBreakBefore w:val="0"/>
              <w:widowControl w:val="0"/>
              <w:wordWrap/>
              <w:overflowPunct/>
              <w:topLinePunct w:val="0"/>
              <w:bidi w:val="0"/>
              <w:adjustRightInd w:val="0"/>
              <w:snapToGrid w:val="0"/>
              <w:spacing w:before="177" w:line="219" w:lineRule="auto"/>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预算执行率</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14:textFill>
                  <w14:solidFill>
                    <w14:schemeClr w14:val="tx1"/>
                  </w14:solidFill>
                </w14:textFill>
              </w:rPr>
              <w:t>≥90%</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111.9%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9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591" w:type="dxa"/>
            <w:vMerge w:val="continue"/>
            <w:noWrap w:val="0"/>
            <w:vAlign w:val="center"/>
          </w:tcPr>
          <w:p>
            <w:pPr>
              <w:keepNext w:val="0"/>
              <w:keepLines w:val="0"/>
              <w:pageBreakBefore w:val="0"/>
              <w:widowControl w:val="0"/>
              <w:wordWrap/>
              <w:overflowPunct/>
              <w:topLinePunct w:val="0"/>
              <w:bidi w:val="0"/>
              <w:adjustRightInd w:val="0"/>
              <w:snapToGrid w:val="0"/>
              <w:spacing w:before="177" w:line="219" w:lineRule="auto"/>
              <w:ind w:left="311"/>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wordWrap/>
              <w:overflowPunct/>
              <w:topLinePunct w:val="0"/>
              <w:bidi w:val="0"/>
              <w:adjustRightInd w:val="0"/>
              <w:snapToGrid w:val="0"/>
              <w:spacing w:before="177" w:line="219" w:lineRule="auto"/>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结转结余率</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0</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After w:val="1"/>
          <w:wAfter w:w="2" w:type="dxa"/>
          <w:trHeight w:val="340" w:hRule="atLeast"/>
        </w:trPr>
        <w:tc>
          <w:tcPr>
            <w:tcW w:w="861" w:type="dxa"/>
            <w:vMerge w:val="continue"/>
            <w:noWrap w:val="0"/>
            <w:textDirection w:val="tbRlV"/>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591" w:type="dxa"/>
            <w:vMerge w:val="continue"/>
            <w:noWrap w:val="0"/>
            <w:vAlign w:val="center"/>
          </w:tcPr>
          <w:p>
            <w:pPr>
              <w:keepNext w:val="0"/>
              <w:keepLines w:val="0"/>
              <w:pageBreakBefore w:val="0"/>
              <w:widowControl w:val="0"/>
              <w:wordWrap/>
              <w:overflowPunct/>
              <w:topLinePunct w:val="0"/>
              <w:bidi w:val="0"/>
              <w:adjustRightInd w:val="0"/>
              <w:snapToGrid w:val="0"/>
              <w:spacing w:before="68" w:line="208" w:lineRule="auto"/>
              <w:ind w:left="641" w:right="84" w:hanging="55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wordWrap/>
              <w:overflowPunct/>
              <w:topLinePunct w:val="0"/>
              <w:bidi w:val="0"/>
              <w:adjustRightInd w:val="0"/>
              <w:snapToGrid w:val="0"/>
              <w:spacing w:before="68" w:line="208" w:lineRule="auto"/>
              <w:ind w:right="84" w:rightChars="0"/>
              <w:jc w:val="center"/>
              <w:rPr>
                <w:rFonts w:hint="eastAsia" w:ascii="仿宋_GB2312" w:hAnsi="仿宋_GB2312" w:eastAsia="仿宋_GB2312" w:cs="仿宋_GB2312"/>
                <w:snapToGrid w:val="0"/>
                <w:color w:val="000000" w:themeColor="text1"/>
                <w:kern w:val="0"/>
                <w:sz w:val="22"/>
                <w:szCs w:val="22"/>
                <w:lang w:val="en-US" w:eastAsia="en-US" w:bidi="ar-SA"/>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非税收入预算完</w:t>
            </w:r>
            <w:r>
              <w:rPr>
                <w:rFonts w:hint="eastAsia" w:ascii="仿宋_GB2312" w:hAnsi="仿宋_GB2312" w:eastAsia="仿宋_GB2312" w:cs="仿宋_GB2312"/>
                <w:color w:val="000000" w:themeColor="text1"/>
                <w:spacing w:val="5"/>
                <w:sz w:val="22"/>
                <w:szCs w:val="22"/>
                <w14:textFill>
                  <w14:solidFill>
                    <w14:schemeClr w14:val="tx1"/>
                  </w14:solidFill>
                </w14:textFill>
              </w:rPr>
              <w:t>成率</w:t>
            </w:r>
          </w:p>
        </w:tc>
        <w:tc>
          <w:tcPr>
            <w:tcW w:w="1653"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0</w:t>
            </w:r>
          </w:p>
        </w:tc>
        <w:tc>
          <w:tcPr>
            <w:tcW w:w="1699" w:type="dxa"/>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snapToGrid w:val="0"/>
                <w:color w:val="000000" w:themeColor="text1"/>
                <w:kern w:val="0"/>
                <w:sz w:val="21"/>
                <w:szCs w:val="21"/>
                <w:lang w:val="en-US" w:eastAsia="zh-CN" w:bidi="ar-SA"/>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ind w:left="218" w:leftChars="104" w:firstLine="0" w:firstLineChars="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tcBorders>
              <w:bottom w:val="nil"/>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3"/>
                <w:sz w:val="22"/>
                <w:szCs w:val="22"/>
                <w14:textFill>
                  <w14:solidFill>
                    <w14:schemeClr w14:val="tx1"/>
                  </w14:solidFill>
                </w14:textFill>
              </w:rPr>
              <w:t>绩效管理</w:t>
            </w: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事前绩效评估完成率</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≥90%</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tcBorders>
              <w:top w:val="nil"/>
              <w:bottom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绩效目标合理性</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基本合理</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基本合理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tcBorders>
              <w:top w:val="nil"/>
              <w:bottom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绩效监控开展率</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及时、有效</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及时、有效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tcBorders>
              <w:top w:val="nil"/>
              <w:bottom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绩效评价覆盖率</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≥90%</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tcBorders>
              <w:top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评价结果应用率</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≥90%</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≥90%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tcBorders>
              <w:bottom w:val="nil"/>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资产管理</w:t>
            </w: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资产管理制度健全性</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制度健全，得到有效执行</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制度健全，得到有效执行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tcBorders>
              <w:top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资产管理规范性</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管理规范</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管理规范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tcBorders>
              <w:bottom w:val="nil"/>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财务管理</w:t>
            </w: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财务管理制度健全性</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制度健全</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制度健全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tcBorders>
              <w:top w:val="nil"/>
              <w:bottom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会计核算规范性</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合规、真实、准确、完整</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合规、真实、准确、完整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tcBorders>
              <w:top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1"/>
                <w:sz w:val="22"/>
                <w:szCs w:val="22"/>
                <w14:textFill>
                  <w14:solidFill>
                    <w14:schemeClr w14:val="tx1"/>
                  </w14:solidFill>
                </w14:textFill>
              </w:rPr>
              <w:t>资金使用合规性</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 xml:space="preserve"> 资金使用合规，无挪用情况</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 xml:space="preserve"> 资金使用合规，无挪用情况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restart"/>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5"/>
                <w:sz w:val="22"/>
                <w:szCs w:val="22"/>
                <w14:textFill>
                  <w14:solidFill>
                    <w14:schemeClr w14:val="tx1"/>
                  </w14:solidFill>
                </w14:textFill>
              </w:rPr>
            </w:pPr>
            <w:r>
              <w:rPr>
                <w:rFonts w:hint="eastAsia" w:ascii="仿宋_GB2312" w:hAnsi="仿宋_GB2312" w:eastAsia="仿宋_GB2312" w:cs="仿宋_GB2312"/>
                <w:color w:val="000000" w:themeColor="text1"/>
                <w:spacing w:val="5"/>
                <w:sz w:val="22"/>
                <w:szCs w:val="22"/>
                <w14:textFill>
                  <w14:solidFill>
                    <w14:schemeClr w14:val="tx1"/>
                  </w14:solidFill>
                </w14:textFill>
              </w:rPr>
              <w:t>履职</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5"/>
                <w:sz w:val="22"/>
                <w:szCs w:val="22"/>
                <w14:textFill>
                  <w14:solidFill>
                    <w14:schemeClr w14:val="tx1"/>
                  </w14:solidFill>
                </w14:textFill>
              </w:rPr>
              <w:t>效能</w:t>
            </w:r>
          </w:p>
        </w:tc>
        <w:tc>
          <w:tcPr>
            <w:tcW w:w="1591" w:type="dxa"/>
            <w:vMerge w:val="restart"/>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pacing w:val="-2"/>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t>广泛开展“三献”工作</w:t>
            </w: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无偿献血宣传</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献血宣传普及率达全市常住人口1.5%</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献血宣传普及率达全市常住人口2%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5"/>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造血干细胞入库</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完成年度造干入库100人</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完成年度造干入库103人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5"/>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遗体器官捐献登记</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志愿者登记200人</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完成志愿者登记229人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5"/>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遗体捐献成功案例</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1例</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3例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5"/>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遗体器官捐献宣传</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遗体器官捐献普及率1%</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遗体器官捐献普及率1.5%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pacing w:val="-2"/>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t>“三救”工作提质增效</w:t>
            </w: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加强人道救助</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支付各类人道救助金30万元</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支付各类人道救助金38万元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深化博爱送万家活动</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博爱送万家慰问500人</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博爱送万家各类慰问1万人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推进防溺水宣传</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开展防溺水进校园30场</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完成防溺水宣传47场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防溺水急救知识普及</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开展</w:t>
            </w:r>
            <w:bookmarkStart w:id="2" w:name="OLE_LINK3"/>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防溺水急救知识路演5场</w:t>
            </w:r>
            <w:bookmarkEnd w:id="2"/>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完成防溺水急救知识路演10场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应急救护培训</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救护员培训取证2000人</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救护员培训取证2547人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应急救护知识普及</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应急救护知识普及人数2.5万人</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应急救护知识普及人数3.1万人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应急救援能力建设</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lang w:val="en-US"/>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强化服务队硬件装备</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为志愿服务队购置装备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spacing w:val="-2"/>
                <w:kern w:val="0"/>
                <w:sz w:val="22"/>
                <w:szCs w:val="22"/>
                <w:lang w:val="en-US" w:eastAsia="zh-CN"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t>志愿服务</w:t>
            </w: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红十字志愿服务活动建设</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红十字志愿服务5次</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红十字志愿服务6次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红十字志愿者招募</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红十字志愿者登记200人</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红十字志愿者登记316人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红十字会员发展</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红十字会员登记200人</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红十字会员登记262人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pP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红十字青少年建设</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红十字青少年活动2次</w:t>
            </w:r>
          </w:p>
        </w:tc>
        <w:tc>
          <w:tcPr>
            <w:tcW w:w="1701" w:type="dxa"/>
            <w:gridSpan w:val="2"/>
            <w:noWrap w:val="0"/>
            <w:vAlign w:val="center"/>
          </w:tcPr>
          <w:p>
            <w:pPr>
              <w:keepNext w:val="0"/>
              <w:keepLines w:val="0"/>
              <w:widowControl/>
              <w:suppressLineNumbers w:val="0"/>
              <w:jc w:val="center"/>
              <w:textAlignment w:val="center"/>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红十字青少年活动3次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restart"/>
            <w:tcBorders>
              <w:bottom w:val="nil"/>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5"/>
                <w:sz w:val="22"/>
                <w:szCs w:val="22"/>
                <w14:textFill>
                  <w14:solidFill>
                    <w14:schemeClr w14:val="tx1"/>
                  </w14:solidFill>
                </w14:textFill>
              </w:rPr>
            </w:pPr>
            <w:r>
              <w:rPr>
                <w:rFonts w:hint="eastAsia" w:ascii="仿宋_GB2312" w:hAnsi="仿宋_GB2312" w:eastAsia="仿宋_GB2312" w:cs="仿宋_GB2312"/>
                <w:color w:val="000000" w:themeColor="text1"/>
                <w:spacing w:val="-5"/>
                <w:sz w:val="22"/>
                <w:szCs w:val="22"/>
                <w14:textFill>
                  <w14:solidFill>
                    <w14:schemeClr w14:val="tx1"/>
                  </w14:solidFill>
                </w14:textFill>
              </w:rPr>
              <w:t>社会</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4"/>
                <w:sz w:val="22"/>
                <w:szCs w:val="22"/>
                <w14:textFill>
                  <w14:solidFill>
                    <w14:schemeClr w14:val="tx1"/>
                  </w14:solidFill>
                </w14:textFill>
              </w:rPr>
              <w:t>效应</w:t>
            </w:r>
          </w:p>
        </w:tc>
        <w:tc>
          <w:tcPr>
            <w:tcW w:w="1591"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pPr>
            <w:r>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t>经济效益</w:t>
            </w: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2"/>
                <w:szCs w:val="22"/>
                <w:u w:val="none"/>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不断提高工作绩效，较好地完成了党和政府赋予的人道领域工作任务</w:t>
            </w:r>
          </w:p>
        </w:tc>
        <w:tc>
          <w:tcPr>
            <w:tcW w:w="1653"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显著提高</w:t>
            </w:r>
          </w:p>
        </w:tc>
        <w:tc>
          <w:tcPr>
            <w:tcW w:w="1701"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显著提高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tcBorders>
              <w:top w:val="nil"/>
              <w:bottom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pPr>
            <w:r>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t>社会效益</w:t>
            </w:r>
          </w:p>
        </w:tc>
        <w:tc>
          <w:tcPr>
            <w:tcW w:w="2327"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人道资源动员能力</w:t>
            </w:r>
          </w:p>
        </w:tc>
        <w:tc>
          <w:tcPr>
            <w:tcW w:w="1653"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显著提高</w:t>
            </w:r>
          </w:p>
        </w:tc>
        <w:tc>
          <w:tcPr>
            <w:tcW w:w="1701"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显著提高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tcBorders>
              <w:top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pPr>
            <w:r>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t>生态效益</w:t>
            </w:r>
          </w:p>
        </w:tc>
        <w:tc>
          <w:tcPr>
            <w:tcW w:w="2327" w:type="dxa"/>
            <w:noWrap w:val="0"/>
            <w:vAlign w:val="center"/>
          </w:tcPr>
          <w:p>
            <w:pPr>
              <w:keepNext w:val="0"/>
              <w:keepLines w:val="0"/>
              <w:widowControl/>
              <w:suppressLineNumbers w:val="0"/>
              <w:jc w:val="left"/>
              <w:textAlignment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2"/>
                <w:szCs w:val="22"/>
                <w:u w:val="none"/>
                <w:lang w:val="en-US" w:eastAsia="zh-CN" w:bidi="ar"/>
                <w14:textFill>
                  <w14:solidFill>
                    <w14:schemeClr w14:val="tx1"/>
                  </w14:solidFill>
                </w14:textFill>
              </w:rPr>
              <w:t>促进人民群众对党领导下的红十字事业的长期性和持久性支持</w:t>
            </w:r>
          </w:p>
        </w:tc>
        <w:tc>
          <w:tcPr>
            <w:tcW w:w="1653"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显著提高</w:t>
            </w:r>
          </w:p>
        </w:tc>
        <w:tc>
          <w:tcPr>
            <w:tcW w:w="1701"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显著提高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restart"/>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3"/>
                <w:sz w:val="22"/>
                <w:szCs w:val="22"/>
                <w14:textFill>
                  <w14:solidFill>
                    <w14:schemeClr w14:val="tx1"/>
                  </w14:solidFill>
                </w14:textFill>
              </w:rPr>
              <w:t>可持</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3"/>
                <w:sz w:val="22"/>
                <w:szCs w:val="22"/>
                <w14:textFill>
                  <w14:solidFill>
                    <w14:schemeClr w14:val="tx1"/>
                  </w14:solidFill>
                </w14:textFill>
              </w:rPr>
              <w:t>续发</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3"/>
                <w:sz w:val="22"/>
                <w:szCs w:val="22"/>
                <w14:textFill>
                  <w14:solidFill>
                    <w14:schemeClr w14:val="tx1"/>
                  </w14:solidFill>
                </w14:textFill>
              </w:rPr>
              <w:t>展能</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z w:val="22"/>
                <w:szCs w:val="22"/>
                <w14:textFill>
                  <w14:solidFill>
                    <w14:schemeClr w14:val="tx1"/>
                  </w14:solidFill>
                </w14:textFill>
              </w:rPr>
              <w:t>力</w:t>
            </w:r>
          </w:p>
        </w:tc>
        <w:tc>
          <w:tcPr>
            <w:tcW w:w="1591" w:type="dxa"/>
            <w:vMerge w:val="restart"/>
            <w:tcBorders>
              <w:bottom w:val="nil"/>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pPr>
            <w:r>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t>体制机制改革</w:t>
            </w: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2"/>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服务体制改革成效</w:t>
            </w:r>
          </w:p>
        </w:tc>
        <w:tc>
          <w:tcPr>
            <w:tcW w:w="1653" w:type="dxa"/>
            <w:noWrap w:val="0"/>
            <w:vAlign w:val="center"/>
          </w:tcPr>
          <w:p>
            <w:pPr>
              <w:keepNext w:val="0"/>
              <w:keepLines w:val="0"/>
              <w:widowControl/>
              <w:suppressLineNumbers w:val="0"/>
              <w:jc w:val="left"/>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健全监事会制度</w:t>
            </w:r>
          </w:p>
        </w:tc>
        <w:tc>
          <w:tcPr>
            <w:tcW w:w="1701"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建立监事会工作制度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tcBorders>
              <w:top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pP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2"/>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行政管理体制改革成效</w:t>
            </w:r>
          </w:p>
        </w:tc>
        <w:tc>
          <w:tcPr>
            <w:tcW w:w="1653" w:type="dxa"/>
            <w:noWrap w:val="0"/>
            <w:vAlign w:val="center"/>
          </w:tcPr>
          <w:p>
            <w:pPr>
              <w:keepNext w:val="0"/>
              <w:keepLines w:val="0"/>
              <w:widowControl/>
              <w:suppressLineNumbers w:val="0"/>
              <w:jc w:val="left"/>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强化基层组织建设</w:t>
            </w:r>
          </w:p>
        </w:tc>
        <w:tc>
          <w:tcPr>
            <w:tcW w:w="1701"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开展基层红会工作人员培训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tcBorders>
              <w:bottom w:val="nil"/>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pPr>
            <w:r>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t>人才支撑</w:t>
            </w: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2"/>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业务学习与培训完成率</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≥90%</w:t>
            </w:r>
          </w:p>
        </w:tc>
        <w:tc>
          <w:tcPr>
            <w:tcW w:w="1701"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lang w:val="en-US" w:eastAsia="zh-CN"/>
                <w14:textFill>
                  <w14:solidFill>
                    <w14:schemeClr w14:val="tx1"/>
                  </w14:solidFill>
                </w14:textFill>
              </w:rPr>
            </w:pPr>
            <w:r>
              <w:rPr>
                <w:rFonts w:hint="eastAsia" w:ascii="仿宋_GB2312" w:hAnsi="仿宋_GB2312" w:eastAsia="仿宋_GB2312" w:cs="仿宋_GB2312"/>
                <w:color w:val="000000" w:themeColor="text1"/>
                <w:sz w:val="21"/>
                <w:szCs w:val="21"/>
                <w:lang w:val="en-US" w:eastAsia="zh-CN"/>
                <w14:textFill>
                  <w14:solidFill>
                    <w14:schemeClr w14:val="tx1"/>
                  </w14:solidFill>
                </w14:textFill>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continue"/>
            <w:tcBorders>
              <w:top w:val="nil"/>
              <w:bottom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pP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2"/>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干部队伍体系建设规划情况</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成效显著</w:t>
            </w:r>
          </w:p>
        </w:tc>
        <w:tc>
          <w:tcPr>
            <w:tcW w:w="1701"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1"/>
                <w:szCs w:val="21"/>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成效显著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5"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z w:val="22"/>
                <w:szCs w:val="22"/>
                <w14:textFill>
                  <w14:solidFill>
                    <w14:schemeClr w14:val="tx1"/>
                  </w14:solidFill>
                </w14:textFill>
              </w:rPr>
            </w:pPr>
          </w:p>
        </w:tc>
        <w:tc>
          <w:tcPr>
            <w:tcW w:w="1591" w:type="dxa"/>
            <w:vMerge w:val="restart"/>
            <w:tcBorders>
              <w:bottom w:val="nil"/>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pPr>
            <w:r>
              <w:rPr>
                <w:rFonts w:hint="eastAsia" w:ascii="仿宋_GB2312" w:hAnsi="仿宋_GB2312" w:eastAsia="仿宋_GB2312" w:cs="仿宋_GB2312"/>
                <w:snapToGrid w:val="0"/>
                <w:color w:val="000000" w:themeColor="text1"/>
                <w:spacing w:val="-2"/>
                <w:kern w:val="0"/>
                <w:sz w:val="22"/>
                <w:szCs w:val="22"/>
                <w:lang w:val="en-US" w:eastAsia="en-US" w:bidi="ar-SA"/>
                <w14:textFill>
                  <w14:solidFill>
                    <w14:schemeClr w14:val="tx1"/>
                  </w14:solidFill>
                </w14:textFill>
              </w:rPr>
              <w:t>科技支撑</w:t>
            </w:r>
          </w:p>
        </w:tc>
        <w:tc>
          <w:tcPr>
            <w:tcW w:w="2327"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spacing w:val="-2"/>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信息化建设情况</w:t>
            </w:r>
          </w:p>
        </w:tc>
        <w:tc>
          <w:tcPr>
            <w:tcW w:w="1653" w:type="dxa"/>
            <w:noWrap w:val="0"/>
            <w:vAlign w:val="center"/>
          </w:tcPr>
          <w:p>
            <w:pPr>
              <w:keepNext w:val="0"/>
              <w:keepLines w:val="0"/>
              <w:widowControl/>
              <w:suppressLineNumbers w:val="0"/>
              <w:jc w:val="center"/>
              <w:textAlignment w:val="center"/>
              <w:rPr>
                <w:rFonts w:hint="eastAsia" w:ascii="仿宋_GB2312" w:hAnsi="仿宋_GB2312" w:eastAsia="仿宋_GB2312" w:cs="仿宋_GB2312"/>
                <w:i w:val="0"/>
                <w:iCs w:val="0"/>
                <w:snapToGrid w:val="0"/>
                <w:color w:val="000000" w:themeColor="text1"/>
                <w:kern w:val="0"/>
                <w:sz w:val="21"/>
                <w:szCs w:val="21"/>
                <w:u w:val="none"/>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电子化覆盖率和应用率90%，工作效率提升</w:t>
            </w:r>
          </w:p>
        </w:tc>
        <w:tc>
          <w:tcPr>
            <w:tcW w:w="1701"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leftChars="0" w:right="0" w:rightChars="0"/>
              <w:jc w:val="center"/>
              <w:textAlignment w:val="baseline"/>
              <w:rPr>
                <w:rFonts w:hint="eastAsia" w:ascii="仿宋_GB2312" w:hAnsi="仿宋_GB2312" w:eastAsia="仿宋_GB2312" w:cs="仿宋_GB2312"/>
                <w:snapToGrid w:val="0"/>
                <w:color w:val="000000" w:themeColor="text1"/>
                <w:kern w:val="0"/>
                <w:sz w:val="21"/>
                <w:szCs w:val="21"/>
                <w:lang w:val="en-US" w:eastAsia="en-US"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21"/>
                <w:szCs w:val="21"/>
                <w:u w:val="none"/>
                <w:lang w:val="en-US" w:eastAsia="zh-CN" w:bidi="ar"/>
                <w14:textFill>
                  <w14:solidFill>
                    <w14:schemeClr w14:val="tx1"/>
                  </w14:solidFill>
                </w14:textFill>
              </w:rPr>
              <w:t>电子化覆盖率和应用率100%，工作效率提升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861" w:type="dxa"/>
            <w:vMerge w:val="continue"/>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14:textFill>
                  <w14:solidFill>
                    <w14:schemeClr w14:val="tx1"/>
                  </w14:solidFill>
                </w14:textFill>
              </w:rPr>
            </w:pPr>
          </w:p>
        </w:tc>
        <w:tc>
          <w:tcPr>
            <w:tcW w:w="1286" w:type="dxa"/>
            <w:vMerge w:val="continue"/>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14:textFill>
                  <w14:solidFill>
                    <w14:schemeClr w14:val="tx1"/>
                  </w14:solidFill>
                </w14:textFill>
              </w:rPr>
            </w:pPr>
          </w:p>
        </w:tc>
        <w:tc>
          <w:tcPr>
            <w:tcW w:w="1591" w:type="dxa"/>
            <w:vMerge w:val="continue"/>
            <w:tcBorders>
              <w:top w:val="nil"/>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14:textFill>
                  <w14:solidFill>
                    <w14:schemeClr w14:val="tx1"/>
                  </w14:solidFill>
                </w14:textFill>
              </w:rPr>
            </w:pPr>
          </w:p>
        </w:tc>
        <w:tc>
          <w:tcPr>
            <w:tcW w:w="2327" w:type="dxa"/>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snapToGrid w:val="0"/>
                <w:color w:val="000000" w:themeColor="text1"/>
                <w:kern w:val="0"/>
                <w:sz w:val="18"/>
                <w:szCs w:val="18"/>
                <w:u w:val="none"/>
                <w:lang w:val="en-US" w:eastAsia="zh-CN" w:bidi="ar-SA"/>
                <w14:textFill>
                  <w14:solidFill>
                    <w14:schemeClr w14:val="tx1"/>
                  </w14:solidFill>
                </w14:textFill>
              </w:rPr>
            </w:pPr>
            <w:r>
              <w:rPr>
                <w:rFonts w:hint="eastAsia" w:ascii="仿宋_GB2312" w:hAnsi="仿宋_GB2312" w:eastAsia="仿宋_GB2312" w:cs="仿宋_GB2312"/>
                <w:i w:val="0"/>
                <w:iCs w:val="0"/>
                <w:snapToGrid w:val="0"/>
                <w:color w:val="000000" w:themeColor="text1"/>
                <w:kern w:val="0"/>
                <w:sz w:val="18"/>
                <w:szCs w:val="18"/>
                <w:u w:val="none"/>
                <w:lang w:val="en-US" w:eastAsia="zh-CN" w:bidi="ar"/>
                <w14:textFill>
                  <w14:solidFill>
                    <w14:schemeClr w14:val="tx1"/>
                  </w14:solidFill>
                </w14:textFill>
              </w:rPr>
              <w:t>数字化服务覆盖率</w:t>
            </w:r>
          </w:p>
        </w:tc>
        <w:tc>
          <w:tcPr>
            <w:tcW w:w="1653"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100%</w:t>
            </w:r>
          </w:p>
        </w:tc>
        <w:tc>
          <w:tcPr>
            <w:tcW w:w="1701"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6" w:hRule="atLeast"/>
        </w:trPr>
        <w:tc>
          <w:tcPr>
            <w:tcW w:w="2147" w:type="dxa"/>
            <w:gridSpan w:val="2"/>
            <w:noWrap w:val="0"/>
            <w:vAlign w:val="center"/>
          </w:tcPr>
          <w:p>
            <w:pPr>
              <w:keepNext w:val="0"/>
              <w:keepLines w:val="0"/>
              <w:pageBreakBefore w:val="0"/>
              <w:widowControl w:val="0"/>
              <w:wordWrap/>
              <w:overflowPunct/>
              <w:topLinePunct w:val="0"/>
              <w:bidi w:val="0"/>
              <w:adjustRightInd w:val="0"/>
              <w:snapToGrid w:val="0"/>
              <w:spacing w:before="65" w:line="253" w:lineRule="auto"/>
              <w:ind w:left="294" w:hanging="279"/>
              <w:jc w:val="center"/>
              <w:rPr>
                <w:rFonts w:hint="eastAsia" w:ascii="仿宋_GB2312" w:hAnsi="仿宋_GB2312" w:eastAsia="仿宋_GB2312" w:cs="仿宋_GB2312"/>
                <w:color w:val="000000" w:themeColor="text1"/>
                <w:spacing w:val="-2"/>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偏差大或目标未完</w:t>
            </w:r>
          </w:p>
          <w:p>
            <w:pPr>
              <w:keepNext w:val="0"/>
              <w:keepLines w:val="0"/>
              <w:pageBreakBefore w:val="0"/>
              <w:widowControl w:val="0"/>
              <w:wordWrap/>
              <w:overflowPunct/>
              <w:topLinePunct w:val="0"/>
              <w:bidi w:val="0"/>
              <w:adjustRightInd w:val="0"/>
              <w:snapToGrid w:val="0"/>
              <w:spacing w:before="65" w:line="253" w:lineRule="auto"/>
              <w:ind w:left="294" w:hanging="279"/>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成原因分析</w:t>
            </w:r>
          </w:p>
        </w:tc>
        <w:tc>
          <w:tcPr>
            <w:tcW w:w="7272" w:type="dxa"/>
            <w:gridSpan w:val="5"/>
            <w:noWrap w:val="0"/>
            <w:vAlign w:val="center"/>
          </w:tcPr>
          <w:p>
            <w:pPr>
              <w:pStyle w:val="9"/>
              <w:keepNext w:val="0"/>
              <w:keepLines w:val="0"/>
              <w:pageBreakBefore w:val="0"/>
              <w:widowControl w:val="0"/>
              <w:numPr>
                <w:ilvl w:val="0"/>
                <w:numId w:val="0"/>
              </w:numPr>
              <w:wordWrap/>
              <w:overflowPunct/>
              <w:topLinePunct w:val="0"/>
              <w:bidi w:val="0"/>
              <w:adjustRightInd w:val="0"/>
              <w:snapToGrid w:val="0"/>
              <w:jc w:val="center"/>
              <w:rPr>
                <w:rFonts w:hint="eastAsia"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sz w:val="22"/>
                <w:szCs w:val="22"/>
                <w:lang w:val="en-US" w:eastAsia="zh-CN"/>
                <w14:textFill>
                  <w14:solidFill>
                    <w14:schemeClr w14:val="tx1"/>
                  </w14:solidFill>
                </w14:textFill>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7" w:hRule="atLeast"/>
        </w:trPr>
        <w:tc>
          <w:tcPr>
            <w:tcW w:w="2147" w:type="dxa"/>
            <w:gridSpan w:val="2"/>
            <w:noWrap w:val="0"/>
            <w:vAlign w:val="center"/>
          </w:tcPr>
          <w:p>
            <w:pPr>
              <w:keepNext w:val="0"/>
              <w:keepLines w:val="0"/>
              <w:pageBreakBefore w:val="0"/>
              <w:widowControl w:val="0"/>
              <w:wordWrap/>
              <w:overflowPunct/>
              <w:topLinePunct w:val="0"/>
              <w:bidi w:val="0"/>
              <w:adjustRightInd w:val="0"/>
              <w:snapToGrid w:val="0"/>
              <w:spacing w:before="65" w:line="244" w:lineRule="auto"/>
              <w:ind w:left="494" w:right="2" w:hanging="479"/>
              <w:jc w:val="center"/>
              <w:rPr>
                <w:rFonts w:hint="eastAsia" w:ascii="仿宋_GB2312" w:hAnsi="仿宋_GB2312" w:eastAsia="仿宋_GB2312" w:cs="仿宋_GB2312"/>
                <w:color w:val="000000" w:themeColor="text1"/>
                <w:spacing w:val="-2"/>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改进措施及</w:t>
            </w:r>
          </w:p>
          <w:p>
            <w:pPr>
              <w:keepNext w:val="0"/>
              <w:keepLines w:val="0"/>
              <w:pageBreakBefore w:val="0"/>
              <w:widowControl w:val="0"/>
              <w:wordWrap/>
              <w:overflowPunct/>
              <w:topLinePunct w:val="0"/>
              <w:bidi w:val="0"/>
              <w:adjustRightInd w:val="0"/>
              <w:snapToGrid w:val="0"/>
              <w:spacing w:before="65" w:line="244" w:lineRule="auto"/>
              <w:ind w:left="494" w:right="2" w:hanging="479"/>
              <w:jc w:val="center"/>
              <w:rPr>
                <w:rFonts w:hint="eastAsia" w:ascii="仿宋_GB2312" w:hAnsi="仿宋_GB2312" w:eastAsia="仿宋_GB2312" w:cs="仿宋_GB2312"/>
                <w:color w:val="000000" w:themeColor="text1"/>
                <w:sz w:val="22"/>
                <w:szCs w:val="22"/>
                <w14:textFill>
                  <w14:solidFill>
                    <w14:schemeClr w14:val="tx1"/>
                  </w14:solidFill>
                </w14:textFill>
              </w:rPr>
            </w:pPr>
            <w:r>
              <w:rPr>
                <w:rFonts w:hint="eastAsia" w:ascii="仿宋_GB2312" w:hAnsi="仿宋_GB2312" w:eastAsia="仿宋_GB2312" w:cs="仿宋_GB2312"/>
                <w:color w:val="000000" w:themeColor="text1"/>
                <w:spacing w:val="-2"/>
                <w:sz w:val="22"/>
                <w:szCs w:val="22"/>
                <w14:textFill>
                  <w14:solidFill>
                    <w14:schemeClr w14:val="tx1"/>
                  </w14:solidFill>
                </w14:textFill>
              </w:rPr>
              <w:t>结果应</w:t>
            </w:r>
            <w:r>
              <w:rPr>
                <w:rFonts w:hint="eastAsia" w:ascii="仿宋_GB2312" w:hAnsi="仿宋_GB2312" w:eastAsia="仿宋_GB2312" w:cs="仿宋_GB2312"/>
                <w:color w:val="000000" w:themeColor="text1"/>
                <w:spacing w:val="-3"/>
                <w:sz w:val="22"/>
                <w:szCs w:val="22"/>
                <w14:textFill>
                  <w14:solidFill>
                    <w14:schemeClr w14:val="tx1"/>
                  </w14:solidFill>
                </w14:textFill>
              </w:rPr>
              <w:t>用方案</w:t>
            </w:r>
          </w:p>
        </w:tc>
        <w:tc>
          <w:tcPr>
            <w:tcW w:w="7272" w:type="dxa"/>
            <w:gridSpan w:val="5"/>
            <w:noWrap w:val="0"/>
            <w:vAlign w:val="center"/>
          </w:tcPr>
          <w:p>
            <w:pPr>
              <w:pStyle w:val="9"/>
              <w:keepNext w:val="0"/>
              <w:keepLines w:val="0"/>
              <w:pageBreakBefore w:val="0"/>
              <w:widowControl w:val="0"/>
              <w:wordWrap/>
              <w:overflowPunct/>
              <w:topLinePunct w:val="0"/>
              <w:bidi w:val="0"/>
              <w:adjustRightInd w:val="0"/>
              <w:snapToGrid w:val="0"/>
              <w:jc w:val="center"/>
              <w:rPr>
                <w:rFonts w:hint="eastAsia" w:ascii="仿宋_GB2312" w:hAnsi="仿宋_GB2312" w:eastAsia="仿宋_GB2312" w:cs="仿宋_GB2312"/>
                <w:color w:val="000000" w:themeColor="text1"/>
                <w:sz w:val="22"/>
                <w:szCs w:val="22"/>
                <w:lang w:val="en-US" w:eastAsia="zh-CN"/>
                <w14:textFill>
                  <w14:solidFill>
                    <w14:schemeClr w14:val="tx1"/>
                  </w14:solidFill>
                </w14:textFill>
              </w:rPr>
            </w:pPr>
            <w:r>
              <w:rPr>
                <w:rFonts w:hint="eastAsia" w:ascii="仿宋_GB2312" w:hAnsi="仿宋_GB2312" w:eastAsia="仿宋_GB2312" w:cs="仿宋_GB2312"/>
                <w:color w:val="000000" w:themeColor="text1"/>
                <w:lang w:val="en-US" w:eastAsia="zh-CN"/>
                <w14:textFill>
                  <w14:solidFill>
                    <w14:schemeClr w14:val="tx1"/>
                  </w14:solidFill>
                </w14:textFill>
              </w:rPr>
              <w:t>无</w:t>
            </w:r>
          </w:p>
        </w:tc>
      </w:tr>
    </w:tbl>
    <w:p>
      <w:pPr>
        <w:keepNext w:val="0"/>
        <w:keepLines w:val="0"/>
        <w:pageBreakBefore w:val="0"/>
        <w:widowControl w:val="0"/>
        <w:wordWrap/>
        <w:overflowPunct/>
        <w:topLinePunct w:val="0"/>
        <w:bidi w:val="0"/>
        <w:adjustRightInd w:val="0"/>
        <w:snapToGrid w:val="0"/>
        <w:spacing w:line="112" w:lineRule="exact"/>
        <w:rPr>
          <w:rFonts w:hint="eastAsia" w:ascii="仿宋_GB2312" w:hAnsi="仿宋_GB2312" w:eastAsia="仿宋_GB2312" w:cs="仿宋_GB2312"/>
          <w:color w:val="000000" w:themeColor="text1"/>
          <w14:textFill>
            <w14:solidFill>
              <w14:schemeClr w14:val="tx1"/>
            </w14:solidFill>
          </w14:textFill>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textAlignment w:val="baseline"/>
        <w:rPr>
          <w:rFonts w:ascii="黑体" w:hAnsi="黑体" w:eastAsia="黑体" w:cs="黑体"/>
          <w:b w:val="0"/>
          <w:bCs w:val="0"/>
          <w:color w:val="000000"/>
          <w:spacing w:val="-15"/>
          <w:sz w:val="32"/>
          <w:szCs w:val="32"/>
        </w:rPr>
      </w:pP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textAlignment w:val="baseline"/>
        <w:rPr>
          <w:rFonts w:hint="eastAsia" w:ascii="黑体" w:hAnsi="黑体" w:eastAsia="黑体" w:cs="黑体"/>
          <w:b w:val="0"/>
          <w:bCs w:val="0"/>
          <w:color w:val="000000"/>
          <w:sz w:val="32"/>
          <w:szCs w:val="32"/>
          <w:lang w:eastAsia="zh-CN"/>
        </w:rPr>
      </w:pPr>
      <w:r>
        <w:rPr>
          <w:rFonts w:ascii="黑体" w:hAnsi="黑体" w:eastAsia="黑体" w:cs="黑体"/>
          <w:b w:val="0"/>
          <w:bCs w:val="0"/>
          <w:color w:val="000000"/>
          <w:spacing w:val="-15"/>
          <w:sz w:val="32"/>
          <w:szCs w:val="32"/>
        </w:rPr>
        <w:t>附件</w:t>
      </w:r>
      <w:r>
        <w:rPr>
          <w:rFonts w:hint="eastAsia" w:ascii="黑体" w:hAnsi="黑体" w:eastAsia="黑体" w:cs="黑体"/>
          <w:b w:val="0"/>
          <w:bCs w:val="0"/>
          <w:color w:val="000000"/>
          <w:spacing w:val="-15"/>
          <w:sz w:val="32"/>
          <w:szCs w:val="32"/>
          <w:lang w:val="en-US" w:eastAsia="zh-CN"/>
        </w:rPr>
        <w:t>2</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val="0"/>
          <w:bCs w:val="0"/>
          <w:color w:val="000000"/>
          <w:sz w:val="32"/>
          <w:szCs w:val="32"/>
        </w:rPr>
      </w:pPr>
      <w:r>
        <w:rPr>
          <w:rFonts w:hint="eastAsia" w:ascii="方正小标宋简体" w:hAnsi="方正小标宋简体" w:eastAsia="方正小标宋简体" w:cs="方正小标宋简体"/>
          <w:b w:val="0"/>
          <w:bCs w:val="0"/>
          <w:color w:val="000000"/>
          <w:spacing w:val="4"/>
          <w:sz w:val="32"/>
          <w:szCs w:val="32"/>
          <w:lang w:eastAsia="zh-CN"/>
        </w:rPr>
        <w:t>2025</w:t>
      </w:r>
      <w:r>
        <w:rPr>
          <w:rFonts w:hint="eastAsia" w:ascii="方正小标宋简体" w:hAnsi="方正小标宋简体" w:eastAsia="方正小标宋简体" w:cs="方正小标宋简体"/>
          <w:b w:val="0"/>
          <w:bCs w:val="0"/>
          <w:color w:val="000000"/>
          <w:spacing w:val="4"/>
          <w:sz w:val="32"/>
          <w:szCs w:val="32"/>
        </w:rPr>
        <w:t>年度</w:t>
      </w:r>
      <w:r>
        <w:rPr>
          <w:rFonts w:hint="eastAsia" w:ascii="方正小标宋简体" w:hAnsi="方正小标宋简体" w:eastAsia="方正小标宋简体" w:cs="方正小标宋简体"/>
          <w:b w:val="0"/>
          <w:bCs w:val="0"/>
          <w:color w:val="000000"/>
          <w:sz w:val="32"/>
          <w:szCs w:val="32"/>
          <w:lang w:eastAsia="zh-CN"/>
        </w:rPr>
        <w:t>“</w:t>
      </w:r>
      <w:r>
        <w:rPr>
          <w:rFonts w:hint="eastAsia" w:ascii="方正小标宋简体" w:hAnsi="方正小标宋简体" w:eastAsia="方正小标宋简体" w:cs="方正小标宋简体"/>
          <w:spacing w:val="0"/>
          <w:position w:val="0"/>
          <w:sz w:val="32"/>
          <w:szCs w:val="32"/>
        </w:rPr>
        <w:t>红十字事业发展补助资金</w:t>
      </w:r>
      <w:r>
        <w:rPr>
          <w:rFonts w:hint="eastAsia" w:ascii="方正小标宋简体" w:hAnsi="方正小标宋简体" w:eastAsia="方正小标宋简体" w:cs="方正小标宋简体"/>
          <w:b w:val="0"/>
          <w:bCs w:val="0"/>
          <w:color w:val="000000"/>
          <w:sz w:val="32"/>
          <w:szCs w:val="32"/>
          <w:lang w:eastAsia="zh-CN"/>
        </w:rPr>
        <w:t>”</w:t>
      </w:r>
      <w:r>
        <w:rPr>
          <w:rFonts w:hint="eastAsia" w:ascii="方正小标宋简体" w:hAnsi="方正小标宋简体" w:eastAsia="方正小标宋简体" w:cs="方正小标宋简体"/>
          <w:b w:val="0"/>
          <w:bCs w:val="0"/>
          <w:color w:val="000000"/>
          <w:spacing w:val="4"/>
          <w:sz w:val="32"/>
          <w:szCs w:val="32"/>
        </w:rPr>
        <w:t>项目绩效自评表</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textAlignment w:val="baseline"/>
        <w:rPr>
          <w:rFonts w:ascii="Arial"/>
          <w:color w:val="000000"/>
          <w:sz w:val="21"/>
        </w:rPr>
      </w:pPr>
    </w:p>
    <w:p>
      <w:pPr>
        <w:keepNext w:val="0"/>
        <w:keepLines w:val="0"/>
        <w:pageBreakBefore w:val="0"/>
        <w:widowControl w:val="0"/>
        <w:kinsoku w:val="0"/>
        <w:wordWrap/>
        <w:overflowPunct/>
        <w:topLinePunct w:val="0"/>
        <w:autoSpaceDE w:val="0"/>
        <w:autoSpaceDN w:val="0"/>
        <w:bidi w:val="0"/>
        <w:adjustRightInd w:val="0"/>
        <w:snapToGrid w:val="0"/>
        <w:spacing w:line="240" w:lineRule="auto"/>
        <w:textAlignment w:val="baseline"/>
        <w:rPr>
          <w:rFonts w:hint="default" w:ascii="楷体" w:hAnsi="楷体" w:eastAsia="楷体" w:cs="楷体"/>
          <w:color w:val="000000"/>
          <w:sz w:val="27"/>
          <w:szCs w:val="27"/>
          <w:lang w:val="en-US" w:eastAsia="zh-CN"/>
        </w:rPr>
      </w:pPr>
      <w:r>
        <w:rPr>
          <w:rFonts w:ascii="楷体" w:hAnsi="楷体" w:eastAsia="楷体" w:cs="楷体"/>
          <w:color w:val="000000"/>
          <w:spacing w:val="-26"/>
          <w:sz w:val="27"/>
          <w:szCs w:val="27"/>
        </w:rPr>
        <w:t>单位名称：</w:t>
      </w:r>
      <w:r>
        <w:rPr>
          <w:rFonts w:hint="eastAsia" w:ascii="楷体" w:hAnsi="楷体" w:eastAsia="楷体" w:cs="楷体"/>
          <w:color w:val="000000"/>
          <w:spacing w:val="-26"/>
          <w:sz w:val="27"/>
          <w:szCs w:val="27"/>
          <w:lang w:val="en-US" w:eastAsia="zh-CN"/>
        </w:rPr>
        <w:t xml:space="preserve"> 仙桃市红十字会                                    </w:t>
      </w:r>
      <w:r>
        <w:rPr>
          <w:rFonts w:ascii="楷体" w:hAnsi="楷体" w:eastAsia="楷体" w:cs="楷体"/>
          <w:color w:val="000000"/>
          <w:spacing w:val="-26"/>
          <w:sz w:val="27"/>
          <w:szCs w:val="27"/>
        </w:rPr>
        <w:t>填报日期：</w:t>
      </w:r>
      <w:r>
        <w:rPr>
          <w:rFonts w:hint="eastAsia" w:ascii="楷体" w:hAnsi="楷体" w:eastAsia="楷体" w:cs="楷体"/>
          <w:color w:val="000000"/>
          <w:spacing w:val="-26"/>
          <w:sz w:val="27"/>
          <w:szCs w:val="27"/>
          <w:lang w:val="en-US" w:eastAsia="zh-CN"/>
        </w:rPr>
        <w:t>2026年9月15日</w:t>
      </w:r>
    </w:p>
    <w:p>
      <w:pPr>
        <w:keepNext w:val="0"/>
        <w:keepLines w:val="0"/>
        <w:pageBreakBefore w:val="0"/>
        <w:widowControl w:val="0"/>
        <w:wordWrap/>
        <w:overflowPunct/>
        <w:topLinePunct w:val="0"/>
        <w:bidi w:val="0"/>
        <w:adjustRightInd w:val="0"/>
        <w:snapToGrid w:val="0"/>
        <w:spacing w:line="129" w:lineRule="exact"/>
        <w:rPr>
          <w:color w:val="000000"/>
        </w:rPr>
      </w:pPr>
    </w:p>
    <w:tbl>
      <w:tblPr>
        <w:tblStyle w:val="8"/>
        <w:tblW w:w="885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4"/>
        <w:gridCol w:w="922"/>
        <w:gridCol w:w="2053"/>
        <w:gridCol w:w="1184"/>
        <w:gridCol w:w="1096"/>
        <w:gridCol w:w="960"/>
        <w:gridCol w:w="18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项目名称</w:t>
            </w:r>
          </w:p>
        </w:tc>
        <w:tc>
          <w:tcPr>
            <w:tcW w:w="7137" w:type="dxa"/>
            <w:gridSpan w:val="5"/>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r>
              <w:rPr>
                <w:rFonts w:hint="eastAsia" w:ascii="仿宋_GB2312" w:hAnsi="仿宋_GB2312" w:eastAsia="仿宋_GB2312" w:cs="仿宋_GB2312"/>
                <w:i w:val="0"/>
                <w:iCs w:val="0"/>
                <w:color w:val="000000"/>
                <w:sz w:val="24"/>
                <w:szCs w:val="24"/>
                <w:u w:val="none"/>
              </w:rPr>
              <w:t>红十字事业发展补助资金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主管部门</w:t>
            </w:r>
          </w:p>
        </w:tc>
        <w:tc>
          <w:tcPr>
            <w:tcW w:w="3237"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湖北省红十字会</w:t>
            </w:r>
          </w:p>
        </w:tc>
        <w:tc>
          <w:tcPr>
            <w:tcW w:w="205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1"/>
                <w:sz w:val="22"/>
                <w:szCs w:val="22"/>
              </w:rPr>
              <w:t>项目实施单位</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r>
              <w:rPr>
                <w:rFonts w:hint="eastAsia" w:eastAsia="宋体"/>
                <w:color w:val="000000"/>
                <w:lang w:val="en-US" w:eastAsia="zh-CN"/>
              </w:rPr>
              <w:t>仙桃市红十字会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4"/>
                <w:sz w:val="22"/>
                <w:szCs w:val="22"/>
              </w:rPr>
              <w:t>项目类别</w:t>
            </w:r>
          </w:p>
        </w:tc>
        <w:tc>
          <w:tcPr>
            <w:tcW w:w="7137" w:type="dxa"/>
            <w:gridSpan w:val="5"/>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226" w:firstLineChars="100"/>
              <w:jc w:val="both"/>
              <w:textAlignment w:val="baseline"/>
              <w:rPr>
                <w:rFonts w:hint="eastAsia" w:ascii="宋体" w:hAnsi="宋体" w:eastAsia="宋体" w:cs="宋体"/>
                <w:color w:val="000000"/>
                <w:sz w:val="22"/>
                <w:szCs w:val="22"/>
                <w:lang w:eastAsia="zh-CN"/>
              </w:rPr>
            </w:pPr>
            <w:r>
              <w:rPr>
                <w:rFonts w:ascii="宋体" w:hAnsi="宋体" w:eastAsia="宋体" w:cs="宋体"/>
                <w:color w:val="000000"/>
                <w:spacing w:val="3"/>
                <w:sz w:val="22"/>
                <w:szCs w:val="22"/>
              </w:rPr>
              <w:t>1</w:t>
            </w:r>
            <w:r>
              <w:rPr>
                <w:rFonts w:hint="eastAsia" w:ascii="宋体" w:hAnsi="宋体" w:eastAsia="宋体" w:cs="宋体"/>
                <w:color w:val="000000"/>
                <w:spacing w:val="3"/>
                <w:sz w:val="22"/>
                <w:szCs w:val="22"/>
                <w:lang w:val="en-US" w:eastAsia="zh-CN"/>
              </w:rPr>
              <w:t>.</w:t>
            </w:r>
            <w:r>
              <w:rPr>
                <w:rFonts w:ascii="宋体" w:hAnsi="宋体" w:eastAsia="宋体" w:cs="宋体"/>
                <w:color w:val="000000"/>
                <w:spacing w:val="3"/>
                <w:sz w:val="22"/>
                <w:szCs w:val="22"/>
              </w:rPr>
              <w:t>部门预算项目</w:t>
            </w:r>
            <w:r>
              <w:rPr>
                <w:rFonts w:ascii="宋体" w:hAnsi="宋体" w:eastAsia="宋体" w:cs="宋体"/>
                <w:color w:val="000000"/>
                <w:spacing w:val="3"/>
                <w:sz w:val="22"/>
                <w:szCs w:val="22"/>
              </w:rPr>
              <w:sym w:font="Wingdings 2" w:char="00A3"/>
            </w:r>
            <w:r>
              <w:rPr>
                <w:rFonts w:hint="eastAsia" w:ascii="宋体" w:hAnsi="宋体" w:eastAsia="宋体" w:cs="宋体"/>
                <w:color w:val="000000"/>
                <w:spacing w:val="3"/>
                <w:sz w:val="22"/>
                <w:szCs w:val="22"/>
                <w:lang w:val="en-US" w:eastAsia="zh-CN"/>
              </w:rPr>
              <w:t xml:space="preserve">  </w:t>
            </w:r>
            <w:r>
              <w:rPr>
                <w:rFonts w:ascii="宋体" w:hAnsi="宋体" w:eastAsia="宋体" w:cs="宋体"/>
                <w:color w:val="000000"/>
                <w:spacing w:val="3"/>
                <w:position w:val="-1"/>
                <w:sz w:val="22"/>
                <w:szCs w:val="22"/>
              </w:rPr>
              <w:t>2</w:t>
            </w:r>
            <w:r>
              <w:rPr>
                <w:rFonts w:hint="eastAsia" w:ascii="宋体" w:hAnsi="宋体" w:eastAsia="宋体" w:cs="宋体"/>
                <w:color w:val="000000"/>
                <w:spacing w:val="3"/>
                <w:position w:val="-1"/>
                <w:sz w:val="22"/>
                <w:szCs w:val="22"/>
                <w:lang w:val="en-US" w:eastAsia="zh-CN"/>
              </w:rPr>
              <w:t>.市</w:t>
            </w:r>
            <w:r>
              <w:rPr>
                <w:rFonts w:ascii="宋体" w:hAnsi="宋体" w:eastAsia="宋体" w:cs="宋体"/>
                <w:color w:val="000000"/>
                <w:spacing w:val="3"/>
                <w:position w:val="-1"/>
                <w:sz w:val="22"/>
                <w:szCs w:val="22"/>
              </w:rPr>
              <w:t>直专项</w:t>
            </w:r>
            <w:r>
              <w:rPr>
                <w:rFonts w:ascii="宋体" w:hAnsi="宋体" w:eastAsia="宋体" w:cs="宋体"/>
                <w:color w:val="000000"/>
                <w:spacing w:val="3"/>
                <w:sz w:val="22"/>
                <w:szCs w:val="22"/>
              </w:rPr>
              <w:t>□</w:t>
            </w:r>
            <w:r>
              <w:rPr>
                <w:rFonts w:hint="eastAsia" w:ascii="宋体" w:hAnsi="宋体" w:eastAsia="宋体" w:cs="宋体"/>
                <w:color w:val="000000"/>
                <w:spacing w:val="3"/>
                <w:sz w:val="22"/>
                <w:szCs w:val="22"/>
                <w:lang w:val="en-US" w:eastAsia="zh-CN"/>
              </w:rPr>
              <w:t xml:space="preserve">  </w:t>
            </w:r>
            <w:r>
              <w:rPr>
                <w:rFonts w:ascii="宋体" w:hAnsi="宋体" w:eastAsia="宋体" w:cs="宋体"/>
                <w:color w:val="000000"/>
                <w:spacing w:val="3"/>
                <w:sz w:val="22"/>
                <w:szCs w:val="22"/>
              </w:rPr>
              <w:t>3</w:t>
            </w:r>
            <w:r>
              <w:rPr>
                <w:rFonts w:hint="eastAsia" w:ascii="宋体" w:hAnsi="宋体" w:eastAsia="宋体" w:cs="宋体"/>
                <w:color w:val="000000"/>
                <w:spacing w:val="3"/>
                <w:sz w:val="22"/>
                <w:szCs w:val="22"/>
                <w:lang w:val="en-US" w:eastAsia="zh-CN"/>
              </w:rPr>
              <w:t>.上级专项、</w:t>
            </w:r>
            <w:r>
              <w:rPr>
                <w:rFonts w:ascii="宋体" w:hAnsi="宋体" w:eastAsia="宋体" w:cs="宋体"/>
                <w:color w:val="000000"/>
                <w:spacing w:val="3"/>
                <w:sz w:val="22"/>
                <w:szCs w:val="22"/>
              </w:rPr>
              <w:t>转移支付项目</w:t>
            </w:r>
            <w:r>
              <w:rPr>
                <w:rFonts w:ascii="宋体" w:hAnsi="宋体" w:eastAsia="宋体" w:cs="宋体"/>
                <w:color w:val="000000"/>
                <w:spacing w:val="3"/>
                <w:sz w:val="22"/>
                <w:szCs w:val="22"/>
              </w:rPr>
              <w:sym w:font="Wingdings 2" w:char="0052"/>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项目属性</w:t>
            </w:r>
          </w:p>
        </w:tc>
        <w:tc>
          <w:tcPr>
            <w:tcW w:w="7137" w:type="dxa"/>
            <w:gridSpan w:val="5"/>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226" w:firstLineChars="100"/>
              <w:jc w:val="both"/>
              <w:textAlignment w:val="baseline"/>
              <w:rPr>
                <w:rFonts w:ascii="宋体" w:hAnsi="宋体" w:eastAsia="宋体" w:cs="宋体"/>
                <w:color w:val="000000"/>
                <w:sz w:val="22"/>
                <w:szCs w:val="22"/>
              </w:rPr>
            </w:pPr>
            <w:r>
              <w:rPr>
                <w:rFonts w:ascii="宋体" w:hAnsi="宋体" w:eastAsia="宋体" w:cs="宋体"/>
                <w:color w:val="000000"/>
                <w:spacing w:val="3"/>
                <w:position w:val="3"/>
                <w:sz w:val="22"/>
                <w:szCs w:val="22"/>
              </w:rPr>
              <w:t>1</w:t>
            </w:r>
            <w:r>
              <w:rPr>
                <w:rFonts w:hint="eastAsia" w:ascii="宋体" w:hAnsi="宋体" w:eastAsia="宋体" w:cs="宋体"/>
                <w:color w:val="000000"/>
                <w:spacing w:val="3"/>
                <w:position w:val="3"/>
                <w:sz w:val="22"/>
                <w:szCs w:val="22"/>
                <w:lang w:val="en-US" w:eastAsia="zh-CN"/>
              </w:rPr>
              <w:t>.</w:t>
            </w:r>
            <w:r>
              <w:rPr>
                <w:rFonts w:ascii="宋体" w:hAnsi="宋体" w:eastAsia="宋体" w:cs="宋体"/>
                <w:color w:val="000000"/>
                <w:spacing w:val="3"/>
                <w:position w:val="3"/>
                <w:sz w:val="22"/>
                <w:szCs w:val="22"/>
              </w:rPr>
              <w:t>持续性项目</w:t>
            </w:r>
            <w:r>
              <w:rPr>
                <w:rFonts w:hint="eastAsia" w:ascii="宋体" w:hAnsi="宋体" w:eastAsia="宋体" w:cs="宋体"/>
                <w:color w:val="000000"/>
                <w:spacing w:val="3"/>
                <w:position w:val="-1"/>
                <w:sz w:val="22"/>
                <w:szCs w:val="22"/>
                <w:lang w:eastAsia="zh-CN"/>
              </w:rPr>
              <w:sym w:font="Wingdings 2" w:char="0052"/>
            </w:r>
            <w:r>
              <w:rPr>
                <w:rFonts w:hint="eastAsia" w:ascii="宋体" w:hAnsi="宋体" w:eastAsia="宋体" w:cs="宋体"/>
                <w:color w:val="000000"/>
                <w:spacing w:val="3"/>
                <w:position w:val="-1"/>
                <w:sz w:val="22"/>
                <w:szCs w:val="22"/>
                <w:lang w:val="en-US" w:eastAsia="zh-CN"/>
              </w:rPr>
              <w:t xml:space="preserve">  </w:t>
            </w:r>
            <w:r>
              <w:rPr>
                <w:rFonts w:ascii="宋体" w:hAnsi="宋体" w:eastAsia="宋体" w:cs="宋体"/>
                <w:color w:val="000000"/>
                <w:spacing w:val="3"/>
                <w:position w:val="2"/>
                <w:sz w:val="22"/>
                <w:szCs w:val="22"/>
              </w:rPr>
              <w:t>2</w:t>
            </w:r>
            <w:r>
              <w:rPr>
                <w:rFonts w:hint="eastAsia" w:ascii="宋体" w:hAnsi="宋体" w:eastAsia="宋体" w:cs="宋体"/>
                <w:color w:val="000000"/>
                <w:spacing w:val="3"/>
                <w:position w:val="2"/>
                <w:sz w:val="22"/>
                <w:szCs w:val="22"/>
                <w:lang w:val="en-US" w:eastAsia="zh-CN"/>
              </w:rPr>
              <w:t>.</w:t>
            </w:r>
            <w:r>
              <w:rPr>
                <w:rFonts w:ascii="宋体" w:hAnsi="宋体" w:eastAsia="宋体" w:cs="宋体"/>
                <w:color w:val="000000"/>
                <w:spacing w:val="3"/>
                <w:position w:val="2"/>
                <w:sz w:val="22"/>
                <w:szCs w:val="22"/>
              </w:rPr>
              <w:t>新增性项目□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3"/>
                <w:sz w:val="22"/>
                <w:szCs w:val="22"/>
              </w:rPr>
              <w:t>项目类型</w:t>
            </w:r>
          </w:p>
        </w:tc>
        <w:tc>
          <w:tcPr>
            <w:tcW w:w="7137" w:type="dxa"/>
            <w:gridSpan w:val="5"/>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224" w:firstLineChars="100"/>
              <w:jc w:val="both"/>
              <w:textAlignment w:val="baseline"/>
              <w:rPr>
                <w:rFonts w:ascii="宋体" w:hAnsi="宋体" w:eastAsia="宋体" w:cs="宋体"/>
                <w:color w:val="000000"/>
                <w:sz w:val="22"/>
                <w:szCs w:val="22"/>
              </w:rPr>
            </w:pPr>
            <w:r>
              <w:rPr>
                <w:rFonts w:ascii="宋体" w:hAnsi="宋体" w:eastAsia="宋体" w:cs="宋体"/>
                <w:color w:val="000000"/>
                <w:spacing w:val="2"/>
                <w:sz w:val="22"/>
                <w:szCs w:val="22"/>
              </w:rPr>
              <w:t>1</w:t>
            </w:r>
            <w:r>
              <w:rPr>
                <w:rFonts w:hint="eastAsia" w:ascii="宋体" w:hAnsi="宋体" w:eastAsia="宋体" w:cs="宋体"/>
                <w:color w:val="000000"/>
                <w:spacing w:val="2"/>
                <w:sz w:val="22"/>
                <w:szCs w:val="22"/>
                <w:lang w:val="en-US" w:eastAsia="zh-CN"/>
              </w:rPr>
              <w:t>.</w:t>
            </w:r>
            <w:r>
              <w:rPr>
                <w:rFonts w:ascii="宋体" w:hAnsi="宋体" w:eastAsia="宋体" w:cs="宋体"/>
                <w:color w:val="000000"/>
                <w:spacing w:val="2"/>
                <w:sz w:val="22"/>
                <w:szCs w:val="22"/>
              </w:rPr>
              <w:t>常年性项目</w:t>
            </w:r>
            <w:r>
              <w:rPr>
                <w:rFonts w:ascii="宋体" w:hAnsi="宋体" w:eastAsia="宋体" w:cs="宋体"/>
                <w:color w:val="000000"/>
                <w:spacing w:val="3"/>
                <w:sz w:val="22"/>
                <w:szCs w:val="22"/>
              </w:rPr>
              <w:sym w:font="Wingdings 2" w:char="0052"/>
            </w:r>
            <w:r>
              <w:rPr>
                <w:rFonts w:hint="eastAsia" w:ascii="宋体" w:hAnsi="宋体" w:eastAsia="宋体" w:cs="宋体"/>
                <w:color w:val="000000"/>
                <w:spacing w:val="3"/>
                <w:sz w:val="22"/>
                <w:szCs w:val="22"/>
                <w:lang w:val="en-US" w:eastAsia="zh-CN"/>
              </w:rPr>
              <w:t xml:space="preserve">  </w:t>
            </w:r>
            <w:r>
              <w:rPr>
                <w:rFonts w:ascii="宋体" w:hAnsi="宋体" w:eastAsia="宋体" w:cs="宋体"/>
                <w:color w:val="000000"/>
                <w:spacing w:val="2"/>
                <w:position w:val="-2"/>
                <w:sz w:val="22"/>
                <w:szCs w:val="22"/>
              </w:rPr>
              <w:t>2</w:t>
            </w:r>
            <w:r>
              <w:rPr>
                <w:rFonts w:hint="eastAsia" w:ascii="宋体" w:hAnsi="宋体" w:eastAsia="宋体" w:cs="宋体"/>
                <w:color w:val="000000"/>
                <w:spacing w:val="2"/>
                <w:position w:val="-2"/>
                <w:sz w:val="22"/>
                <w:szCs w:val="22"/>
                <w:lang w:val="en-US" w:eastAsia="zh-CN"/>
              </w:rPr>
              <w:t>.</w:t>
            </w:r>
            <w:r>
              <w:rPr>
                <w:rFonts w:ascii="宋体" w:hAnsi="宋体" w:eastAsia="宋体" w:cs="宋体"/>
                <w:color w:val="000000"/>
                <w:spacing w:val="2"/>
                <w:position w:val="-2"/>
                <w:sz w:val="22"/>
                <w:szCs w:val="22"/>
              </w:rPr>
              <w:t>延续性项目□</w:t>
            </w:r>
            <w:r>
              <w:rPr>
                <w:rFonts w:hint="eastAsia" w:ascii="宋体" w:hAnsi="宋体" w:eastAsia="宋体" w:cs="宋体"/>
                <w:color w:val="000000"/>
                <w:spacing w:val="2"/>
                <w:position w:val="-2"/>
                <w:sz w:val="22"/>
                <w:szCs w:val="22"/>
                <w:lang w:val="en-US" w:eastAsia="zh-CN"/>
              </w:rPr>
              <w:t xml:space="preserve">  </w:t>
            </w:r>
            <w:r>
              <w:rPr>
                <w:rFonts w:ascii="宋体" w:hAnsi="宋体" w:eastAsia="宋体" w:cs="宋体"/>
                <w:color w:val="000000"/>
                <w:spacing w:val="2"/>
                <w:position w:val="1"/>
                <w:sz w:val="22"/>
                <w:szCs w:val="22"/>
              </w:rPr>
              <w:t>3</w:t>
            </w:r>
            <w:r>
              <w:rPr>
                <w:rFonts w:hint="eastAsia" w:ascii="宋体" w:hAnsi="宋体" w:eastAsia="宋体" w:cs="宋体"/>
                <w:color w:val="000000"/>
                <w:spacing w:val="2"/>
                <w:position w:val="1"/>
                <w:sz w:val="22"/>
                <w:szCs w:val="22"/>
                <w:lang w:val="en-US" w:eastAsia="zh-CN"/>
              </w:rPr>
              <w:t>.</w:t>
            </w:r>
            <w:r>
              <w:rPr>
                <w:rFonts w:ascii="宋体" w:hAnsi="宋体" w:eastAsia="宋体" w:cs="宋体"/>
                <w:color w:val="000000"/>
                <w:spacing w:val="2"/>
                <w:position w:val="1"/>
                <w:sz w:val="22"/>
                <w:szCs w:val="22"/>
              </w:rPr>
              <w:t>一次性项目□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716" w:type="dxa"/>
            <w:gridSpan w:val="2"/>
            <w:vMerge w:val="restart"/>
            <w:tcBorders>
              <w:bottom w:val="nil"/>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预算执行情况</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12"/>
                <w:sz w:val="22"/>
                <w:szCs w:val="22"/>
              </w:rPr>
              <w:t>(万元)</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p>
        </w:tc>
        <w:tc>
          <w:tcPr>
            <w:tcW w:w="2053"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1184"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8"/>
                <w:sz w:val="22"/>
                <w:szCs w:val="22"/>
              </w:rPr>
              <w:t>预算数(A)</w:t>
            </w:r>
          </w:p>
        </w:tc>
        <w:tc>
          <w:tcPr>
            <w:tcW w:w="1096"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8"/>
                <w:sz w:val="22"/>
                <w:szCs w:val="22"/>
              </w:rPr>
              <w:t>执行数(B)</w:t>
            </w:r>
          </w:p>
        </w:tc>
        <w:tc>
          <w:tcPr>
            <w:tcW w:w="2804"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执行率(B/A)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716" w:type="dxa"/>
            <w:gridSpan w:val="2"/>
            <w:vMerge w:val="continue"/>
            <w:tcBorders>
              <w:top w:val="nil"/>
              <w:bottom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2053" w:type="dxa"/>
            <w:tcBorders>
              <w:bottom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3"/>
                <w:sz w:val="22"/>
                <w:szCs w:val="22"/>
              </w:rPr>
              <w:t>年度财政</w:t>
            </w:r>
            <w:r>
              <w:rPr>
                <w:rFonts w:ascii="宋体" w:hAnsi="宋体" w:eastAsia="宋体" w:cs="宋体"/>
                <w:color w:val="000000"/>
                <w:spacing w:val="2"/>
                <w:sz w:val="22"/>
                <w:szCs w:val="22"/>
              </w:rPr>
              <w:t>资金总额</w:t>
            </w:r>
          </w:p>
        </w:tc>
        <w:tc>
          <w:tcPr>
            <w:tcW w:w="118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13.38</w:t>
            </w:r>
          </w:p>
        </w:tc>
        <w:tc>
          <w:tcPr>
            <w:tcW w:w="1096"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13.38</w:t>
            </w:r>
          </w:p>
        </w:tc>
        <w:tc>
          <w:tcPr>
            <w:tcW w:w="2804"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94" w:type="dxa"/>
            <w:vMerge w:val="restart"/>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年度</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4"/>
                <w:sz w:val="22"/>
                <w:szCs w:val="22"/>
              </w:rPr>
              <w:t>绩效</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7"/>
                <w:sz w:val="22"/>
                <w:szCs w:val="22"/>
              </w:rPr>
              <w:t>目标1</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p>
        </w:tc>
        <w:tc>
          <w:tcPr>
            <w:tcW w:w="9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hanging="20"/>
              <w:jc w:val="center"/>
              <w:textAlignment w:val="baseline"/>
              <w:rPr>
                <w:rFonts w:ascii="宋体" w:hAnsi="宋体" w:eastAsia="宋体" w:cs="宋体"/>
                <w:color w:val="000000"/>
                <w:spacing w:val="6"/>
                <w:sz w:val="22"/>
                <w:szCs w:val="22"/>
              </w:rPr>
            </w:pPr>
            <w:r>
              <w:rPr>
                <w:rFonts w:ascii="宋体" w:hAnsi="宋体" w:eastAsia="宋体" w:cs="宋体"/>
                <w:color w:val="000000"/>
                <w:spacing w:val="6"/>
                <w:sz w:val="22"/>
                <w:szCs w:val="22"/>
              </w:rPr>
              <w:t>一级</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hanging="2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指标</w:t>
            </w:r>
          </w:p>
        </w:tc>
        <w:tc>
          <w:tcPr>
            <w:tcW w:w="20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二级指标</w:t>
            </w:r>
          </w:p>
        </w:tc>
        <w:tc>
          <w:tcPr>
            <w:tcW w:w="2280" w:type="dxa"/>
            <w:gridSpan w:val="2"/>
            <w:tcBorders>
              <w:lef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三级指标</w:t>
            </w:r>
          </w:p>
        </w:tc>
        <w:tc>
          <w:tcPr>
            <w:tcW w:w="960"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年初目标值</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11"/>
                <w:sz w:val="22"/>
                <w:szCs w:val="22"/>
              </w:rPr>
              <w:t>(A)</w:t>
            </w:r>
          </w:p>
        </w:tc>
        <w:tc>
          <w:tcPr>
            <w:tcW w:w="1844"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实际完成值(B)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成本</w:t>
            </w:r>
          </w:p>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zh-CN" w:bidi="ar-SA"/>
              </w:rPr>
            </w:pPr>
            <w:r>
              <w:rPr>
                <w:rFonts w:hint="eastAsia" w:ascii="宋体" w:hAnsi="宋体" w:eastAsia="宋体" w:cs="宋体"/>
                <w:i w:val="0"/>
                <w:color w:val="000000"/>
                <w:kern w:val="0"/>
                <w:sz w:val="21"/>
                <w:szCs w:val="21"/>
                <w:u w:val="none"/>
                <w:lang w:val="en-US" w:eastAsia="zh-CN" w:bidi="ar"/>
              </w:rPr>
              <w:t>指标</w:t>
            </w:r>
          </w:p>
        </w:tc>
        <w:tc>
          <w:tcPr>
            <w:tcW w:w="20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en-US" w:bidi="ar-SA"/>
              </w:rPr>
            </w:pPr>
            <w:r>
              <w:rPr>
                <w:rFonts w:hint="eastAsia" w:ascii="宋体" w:hAnsi="宋体" w:eastAsia="宋体" w:cs="宋体"/>
                <w:i w:val="0"/>
                <w:color w:val="000000"/>
                <w:kern w:val="0"/>
                <w:sz w:val="21"/>
                <w:szCs w:val="21"/>
                <w:u w:val="none"/>
                <w:lang w:val="en-US" w:eastAsia="zh-CN" w:bidi="ar"/>
              </w:rPr>
              <w:t>经济成本指标</w:t>
            </w: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r>
              <w:rPr>
                <w:rFonts w:hint="eastAsia"/>
                <w:color w:val="000000"/>
              </w:rPr>
              <w:t>培训救护员费用</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r>
              <w:rPr>
                <w:rFonts w:hint="eastAsia" w:eastAsia="宋体"/>
                <w:color w:val="000000"/>
                <w:lang w:val="en-US" w:eastAsia="zh-CN"/>
              </w:rPr>
              <w:t>100</w:t>
            </w:r>
            <w:r>
              <w:rPr>
                <w:rFonts w:hint="eastAsia"/>
                <w:color w:val="000000"/>
              </w:rPr>
              <w:t>元/人</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80</w:t>
            </w:r>
            <w:r>
              <w:rPr>
                <w:rFonts w:hint="eastAsia"/>
                <w:color w:val="000000"/>
              </w:rPr>
              <w:t>元/人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产出</w:t>
            </w:r>
          </w:p>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zh-CN" w:bidi="ar-SA"/>
              </w:rPr>
            </w:pPr>
            <w:r>
              <w:rPr>
                <w:rFonts w:hint="eastAsia" w:ascii="宋体" w:hAnsi="宋体" w:eastAsia="宋体" w:cs="宋体"/>
                <w:i w:val="0"/>
                <w:color w:val="000000"/>
                <w:kern w:val="0"/>
                <w:sz w:val="21"/>
                <w:szCs w:val="21"/>
                <w:u w:val="none"/>
                <w:lang w:val="en-US" w:eastAsia="zh-CN" w:bidi="ar"/>
              </w:rPr>
              <w:t>指标</w:t>
            </w:r>
          </w:p>
        </w:tc>
        <w:tc>
          <w:tcPr>
            <w:tcW w:w="2053"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en-US" w:bidi="ar-SA"/>
              </w:rPr>
            </w:pPr>
            <w:r>
              <w:rPr>
                <w:rFonts w:hint="eastAsia" w:ascii="宋体" w:hAnsi="宋体" w:eastAsia="宋体" w:cs="宋体"/>
                <w:i w:val="0"/>
                <w:color w:val="000000"/>
                <w:kern w:val="0"/>
                <w:sz w:val="21"/>
                <w:szCs w:val="21"/>
                <w:u w:val="none"/>
                <w:lang w:val="en-US" w:eastAsia="zh-CN" w:bidi="ar"/>
              </w:rPr>
              <w:t>数量指标</w:t>
            </w:r>
          </w:p>
        </w:tc>
        <w:tc>
          <w:tcPr>
            <w:tcW w:w="2280" w:type="dxa"/>
            <w:gridSpan w:val="2"/>
            <w:tcBorders>
              <w:lef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i w:val="0"/>
                <w:iCs w:val="0"/>
                <w:snapToGrid w:val="0"/>
                <w:color w:val="000000"/>
                <w:kern w:val="0"/>
                <w:sz w:val="24"/>
                <w:szCs w:val="24"/>
                <w:u w:val="none"/>
                <w:lang w:val="en-US" w:eastAsia="zh-CN" w:bidi="ar"/>
              </w:rPr>
              <w:t>救护员培训数量</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1338人</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1500人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053"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280" w:type="dxa"/>
            <w:gridSpan w:val="2"/>
            <w:tcBorders>
              <w:lef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i w:val="0"/>
                <w:iCs w:val="0"/>
                <w:snapToGrid w:val="0"/>
                <w:color w:val="000000"/>
                <w:kern w:val="0"/>
                <w:sz w:val="24"/>
                <w:szCs w:val="24"/>
                <w:u w:val="none"/>
                <w:lang w:val="en-US" w:eastAsia="zh-CN" w:bidi="ar"/>
              </w:rPr>
              <w:t>救护员培训班期数</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26期</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26期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053" w:type="dxa"/>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280" w:type="dxa"/>
            <w:gridSpan w:val="2"/>
            <w:tcBorders>
              <w:left w:val="single" w:color="auto"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增加救护员师资</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5个</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34个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color w:val="000000"/>
                <w:sz w:val="22"/>
                <w:szCs w:val="22"/>
                <w:highlight w:val="yellow"/>
                <w:lang w:val="en-US" w:eastAsia="zh-CN"/>
              </w:rPr>
            </w:pPr>
          </w:p>
        </w:tc>
        <w:tc>
          <w:tcPr>
            <w:tcW w:w="2053"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en-US" w:bidi="ar-SA"/>
              </w:rPr>
            </w:pPr>
            <w:r>
              <w:rPr>
                <w:rFonts w:hint="eastAsia" w:ascii="宋体" w:hAnsi="宋体" w:eastAsia="宋体" w:cs="宋体"/>
                <w:i w:val="0"/>
                <w:color w:val="000000"/>
                <w:kern w:val="0"/>
                <w:sz w:val="21"/>
                <w:szCs w:val="21"/>
                <w:u w:val="none"/>
                <w:lang w:val="en-US" w:eastAsia="zh-CN" w:bidi="ar"/>
              </w:rPr>
              <w:t>质量指标</w:t>
            </w: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救护员培训质量</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80%</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96%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color w:val="000000"/>
                <w:sz w:val="22"/>
                <w:szCs w:val="22"/>
                <w:highlight w:val="yellow"/>
                <w:lang w:val="en-US" w:eastAsia="zh-CN"/>
              </w:rPr>
            </w:pPr>
          </w:p>
        </w:tc>
        <w:tc>
          <w:tcPr>
            <w:tcW w:w="2053" w:type="dxa"/>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sz w:val="24"/>
                <w:szCs w:val="24"/>
                <w:lang w:val="en-US" w:eastAsia="zh-CN"/>
              </w:rPr>
              <w:t>博爱家园抽查达标率</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80%</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color w:val="000000"/>
                <w:sz w:val="22"/>
                <w:szCs w:val="22"/>
                <w:highlight w:val="yellow"/>
                <w:lang w:val="en-US" w:eastAsia="zh-CN"/>
              </w:rPr>
            </w:pPr>
          </w:p>
        </w:tc>
        <w:tc>
          <w:tcPr>
            <w:tcW w:w="20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en-US" w:bidi="ar-SA"/>
              </w:rPr>
            </w:pPr>
            <w:r>
              <w:rPr>
                <w:rFonts w:hint="eastAsia" w:ascii="宋体" w:hAnsi="宋体" w:eastAsia="宋体" w:cs="宋体"/>
                <w:i w:val="0"/>
                <w:color w:val="000000"/>
                <w:kern w:val="0"/>
                <w:sz w:val="21"/>
                <w:szCs w:val="21"/>
                <w:u w:val="none"/>
                <w:lang w:val="en-US" w:eastAsia="zh-CN" w:bidi="ar"/>
              </w:rPr>
              <w:t>时效指标</w:t>
            </w: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完成及时率</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lang w:val="en-US" w:eastAsia="zh-CN"/>
              </w:rPr>
              <w:t>100%</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b/>
                <w:bCs/>
                <w:color w:val="000000"/>
                <w:sz w:val="24"/>
                <w:szCs w:val="24"/>
              </w:rPr>
            </w:pPr>
            <w:r>
              <w:rPr>
                <w:rFonts w:hint="eastAsia" w:ascii="仿宋_GB2312" w:hAnsi="仿宋_GB2312" w:eastAsia="仿宋_GB2312" w:cs="仿宋_GB2312"/>
                <w:color w:val="000000"/>
                <w:sz w:val="24"/>
                <w:szCs w:val="24"/>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color w:val="000000"/>
                <w:sz w:val="22"/>
                <w:szCs w:val="22"/>
                <w:highlight w:val="yellow"/>
                <w:lang w:val="en-US" w:eastAsia="zh-CN"/>
              </w:rPr>
            </w:pPr>
          </w:p>
        </w:tc>
        <w:tc>
          <w:tcPr>
            <w:tcW w:w="2053"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en-US" w:bidi="ar-SA"/>
              </w:rPr>
            </w:pPr>
            <w:r>
              <w:rPr>
                <w:rFonts w:hint="eastAsia" w:ascii="宋体" w:hAnsi="宋体" w:eastAsia="宋体" w:cs="宋体"/>
                <w:i w:val="0"/>
                <w:color w:val="000000"/>
                <w:kern w:val="0"/>
                <w:sz w:val="21"/>
                <w:szCs w:val="21"/>
                <w:u w:val="none"/>
                <w:lang w:val="en-US" w:eastAsia="zh-CN" w:bidi="ar"/>
              </w:rPr>
              <w:t>社会效益指标</w:t>
            </w: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人民群众自救互救能力</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显著提高</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1"/>
                <w:szCs w:val="21"/>
                <w:lang w:val="en-US" w:eastAsia="zh-CN"/>
              </w:rPr>
            </w:pPr>
            <w:r>
              <w:rPr>
                <w:rFonts w:hint="eastAsia" w:ascii="仿宋_GB2312" w:hAnsi="仿宋_GB2312" w:eastAsia="仿宋_GB2312" w:cs="仿宋_GB2312"/>
                <w:color w:val="000000"/>
                <w:sz w:val="21"/>
                <w:szCs w:val="21"/>
                <w:lang w:val="en-US" w:eastAsia="zh-CN"/>
              </w:rPr>
              <w:t>显著提高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color w:val="000000"/>
                <w:sz w:val="22"/>
                <w:szCs w:val="22"/>
                <w:highlight w:val="yellow"/>
                <w:lang w:val="en-US" w:eastAsia="zh-CN"/>
              </w:rPr>
            </w:pPr>
          </w:p>
        </w:tc>
        <w:tc>
          <w:tcPr>
            <w:tcW w:w="2053" w:type="dxa"/>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传播人道理念</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广泛传播</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广泛传播</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0"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99"/>
              <w:jc w:val="center"/>
              <w:textAlignment w:val="baseline"/>
              <w:rPr>
                <w:rFonts w:ascii="宋体" w:hAnsi="宋体" w:eastAsia="宋体" w:cs="宋体"/>
                <w:color w:val="000000"/>
                <w:spacing w:val="1"/>
                <w:sz w:val="22"/>
                <w:szCs w:val="22"/>
              </w:rPr>
            </w:pPr>
            <w:r>
              <w:rPr>
                <w:rFonts w:ascii="宋体" w:hAnsi="宋体" w:eastAsia="宋体" w:cs="宋体"/>
                <w:color w:val="000000"/>
                <w:spacing w:val="-2"/>
                <w:sz w:val="22"/>
                <w:szCs w:val="22"/>
              </w:rPr>
              <w:t>偏差大或</w:t>
            </w:r>
            <w:r>
              <w:rPr>
                <w:rFonts w:ascii="宋体" w:hAnsi="宋体" w:eastAsia="宋体" w:cs="宋体"/>
                <w:color w:val="000000"/>
                <w:spacing w:val="1"/>
                <w:sz w:val="22"/>
                <w:szCs w:val="22"/>
              </w:rPr>
              <w:t>目标</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99"/>
              <w:jc w:val="center"/>
              <w:textAlignment w:val="baseline"/>
              <w:rPr>
                <w:rFonts w:ascii="宋体" w:hAnsi="宋体" w:eastAsia="宋体" w:cs="宋体"/>
                <w:color w:val="000000"/>
                <w:spacing w:val="1"/>
                <w:sz w:val="22"/>
                <w:szCs w:val="22"/>
              </w:rPr>
            </w:pPr>
            <w:r>
              <w:rPr>
                <w:rFonts w:ascii="宋体" w:hAnsi="宋体" w:eastAsia="宋体" w:cs="宋体"/>
                <w:color w:val="000000"/>
                <w:spacing w:val="1"/>
                <w:sz w:val="22"/>
                <w:szCs w:val="22"/>
              </w:rPr>
              <w:t>未完成</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99"/>
              <w:jc w:val="center"/>
              <w:textAlignment w:val="baseline"/>
              <w:rPr>
                <w:rFonts w:ascii="宋体" w:hAnsi="宋体" w:eastAsia="宋体" w:cs="宋体"/>
                <w:color w:val="000000"/>
                <w:sz w:val="22"/>
                <w:szCs w:val="22"/>
              </w:rPr>
            </w:pPr>
            <w:r>
              <w:rPr>
                <w:rFonts w:ascii="宋体" w:hAnsi="宋体" w:eastAsia="宋体" w:cs="宋体"/>
                <w:color w:val="000000"/>
                <w:spacing w:val="27"/>
                <w:sz w:val="22"/>
                <w:szCs w:val="22"/>
              </w:rPr>
              <w:t>原因分析</w:t>
            </w:r>
          </w:p>
        </w:tc>
        <w:tc>
          <w:tcPr>
            <w:tcW w:w="7137" w:type="dxa"/>
            <w:gridSpan w:val="5"/>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5" w:hRule="atLeast"/>
        </w:trPr>
        <w:tc>
          <w:tcPr>
            <w:tcW w:w="1716"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sz w:val="22"/>
                <w:szCs w:val="22"/>
              </w:rPr>
            </w:pP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100"/>
              <w:jc w:val="center"/>
              <w:textAlignment w:val="baseline"/>
              <w:rPr>
                <w:rFonts w:ascii="宋体" w:hAnsi="宋体" w:eastAsia="宋体" w:cs="宋体"/>
                <w:color w:val="000000"/>
                <w:spacing w:val="2"/>
                <w:sz w:val="22"/>
                <w:szCs w:val="22"/>
              </w:rPr>
            </w:pPr>
            <w:r>
              <w:rPr>
                <w:rFonts w:ascii="宋体" w:hAnsi="宋体" w:eastAsia="宋体" w:cs="宋体"/>
                <w:color w:val="000000"/>
                <w:spacing w:val="2"/>
                <w:sz w:val="22"/>
                <w:szCs w:val="22"/>
              </w:rPr>
              <w:t>改进措施及</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100"/>
              <w:jc w:val="center"/>
              <w:textAlignment w:val="baseline"/>
              <w:rPr>
                <w:rFonts w:ascii="宋体" w:hAnsi="宋体" w:eastAsia="宋体" w:cs="宋体"/>
                <w:color w:val="000000"/>
                <w:sz w:val="22"/>
                <w:szCs w:val="22"/>
              </w:rPr>
            </w:pPr>
            <w:r>
              <w:rPr>
                <w:rFonts w:ascii="宋体" w:hAnsi="宋体" w:eastAsia="宋体" w:cs="宋体"/>
                <w:color w:val="000000"/>
                <w:spacing w:val="1"/>
                <w:sz w:val="22"/>
                <w:szCs w:val="22"/>
              </w:rPr>
              <w:t>结果应用方案</w:t>
            </w:r>
          </w:p>
        </w:tc>
        <w:tc>
          <w:tcPr>
            <w:tcW w:w="7137" w:type="dxa"/>
            <w:gridSpan w:val="5"/>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无</w:t>
            </w:r>
          </w:p>
        </w:tc>
      </w:tr>
    </w:tbl>
    <w:p>
      <w:pPr>
        <w:pStyle w:val="7"/>
        <w:rPr>
          <w:rFonts w:hint="eastAsia" w:ascii="仿宋_GB2312" w:hAnsi="仿宋_GB2312" w:eastAsia="仿宋_GB2312" w:cs="仿宋_GB2312"/>
          <w:bCs/>
          <w:color w:val="000000"/>
          <w:kern w:val="0"/>
          <w:sz w:val="32"/>
          <w:szCs w:val="32"/>
          <w:lang w:val="en-US" w:eastAsia="zh-CN"/>
        </w:rPr>
      </w:pP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textAlignment w:val="baseline"/>
        <w:rPr>
          <w:rFonts w:hint="eastAsia" w:ascii="黑体" w:hAnsi="黑体" w:eastAsia="黑体" w:cs="黑体"/>
          <w:b w:val="0"/>
          <w:bCs w:val="0"/>
          <w:color w:val="000000"/>
          <w:sz w:val="32"/>
          <w:szCs w:val="32"/>
          <w:lang w:eastAsia="zh-CN"/>
        </w:rPr>
      </w:pPr>
      <w:r>
        <w:rPr>
          <w:rFonts w:ascii="黑体" w:hAnsi="黑体" w:eastAsia="黑体" w:cs="黑体"/>
          <w:b w:val="0"/>
          <w:bCs w:val="0"/>
          <w:color w:val="000000"/>
          <w:spacing w:val="-15"/>
          <w:sz w:val="32"/>
          <w:szCs w:val="32"/>
        </w:rPr>
        <w:t>附件</w:t>
      </w:r>
      <w:r>
        <w:rPr>
          <w:rFonts w:hint="eastAsia" w:ascii="黑体" w:hAnsi="黑体" w:eastAsia="黑体" w:cs="黑体"/>
          <w:b w:val="0"/>
          <w:bCs w:val="0"/>
          <w:color w:val="000000"/>
          <w:spacing w:val="-15"/>
          <w:sz w:val="32"/>
          <w:szCs w:val="32"/>
          <w:lang w:val="en-US" w:eastAsia="zh-CN"/>
        </w:rPr>
        <w:t>3</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jc w:val="center"/>
        <w:textAlignment w:val="baseline"/>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pacing w:val="4"/>
          <w:sz w:val="44"/>
          <w:szCs w:val="44"/>
          <w:lang w:eastAsia="zh-CN"/>
        </w:rPr>
        <w:t>2025</w:t>
      </w:r>
      <w:r>
        <w:rPr>
          <w:rFonts w:hint="eastAsia" w:ascii="方正小标宋简体" w:hAnsi="方正小标宋简体" w:eastAsia="方正小标宋简体" w:cs="方正小标宋简体"/>
          <w:b w:val="0"/>
          <w:bCs w:val="0"/>
          <w:color w:val="000000"/>
          <w:spacing w:val="4"/>
          <w:sz w:val="44"/>
          <w:szCs w:val="44"/>
        </w:rPr>
        <w:t>年度</w:t>
      </w:r>
      <w:r>
        <w:rPr>
          <w:rFonts w:hint="eastAsia" w:ascii="方正小标宋简体" w:hAnsi="方正小标宋简体" w:eastAsia="方正小标宋简体" w:cs="方正小标宋简体"/>
          <w:b w:val="0"/>
          <w:bCs w:val="0"/>
          <w:color w:val="000000"/>
          <w:sz w:val="44"/>
          <w:szCs w:val="44"/>
          <w:lang w:eastAsia="zh-CN"/>
        </w:rPr>
        <w:t>“</w:t>
      </w:r>
      <w:r>
        <w:rPr>
          <w:rFonts w:hint="eastAsia" w:ascii="方正小标宋简体" w:hAnsi="方正小标宋简体" w:eastAsia="方正小标宋简体" w:cs="方正小标宋简体"/>
          <w:b w:val="0"/>
          <w:bCs w:val="0"/>
          <w:color w:val="000000"/>
          <w:sz w:val="44"/>
          <w:szCs w:val="44"/>
          <w:lang w:val="en-US" w:eastAsia="zh-CN"/>
        </w:rPr>
        <w:t>三救三献</w:t>
      </w:r>
      <w:r>
        <w:rPr>
          <w:rFonts w:hint="eastAsia" w:ascii="方正小标宋简体" w:hAnsi="方正小标宋简体" w:eastAsia="方正小标宋简体" w:cs="方正小标宋简体"/>
          <w:b w:val="0"/>
          <w:bCs w:val="0"/>
          <w:color w:val="000000"/>
          <w:sz w:val="44"/>
          <w:szCs w:val="44"/>
          <w:lang w:eastAsia="zh-CN"/>
        </w:rPr>
        <w:t>”</w:t>
      </w:r>
      <w:r>
        <w:rPr>
          <w:rFonts w:hint="eastAsia" w:ascii="方正小标宋简体" w:hAnsi="方正小标宋简体" w:eastAsia="方正小标宋简体" w:cs="方正小标宋简体"/>
          <w:b w:val="0"/>
          <w:bCs w:val="0"/>
          <w:color w:val="000000"/>
          <w:spacing w:val="4"/>
          <w:sz w:val="44"/>
          <w:szCs w:val="44"/>
        </w:rPr>
        <w:t>项目绩效自评表</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textAlignment w:val="baseline"/>
        <w:rPr>
          <w:rFonts w:ascii="Arial"/>
          <w:color w:val="000000"/>
          <w:sz w:val="21"/>
        </w:rPr>
      </w:pPr>
    </w:p>
    <w:p>
      <w:pPr>
        <w:keepNext w:val="0"/>
        <w:keepLines w:val="0"/>
        <w:pageBreakBefore w:val="0"/>
        <w:widowControl w:val="0"/>
        <w:kinsoku w:val="0"/>
        <w:wordWrap/>
        <w:overflowPunct/>
        <w:topLinePunct w:val="0"/>
        <w:autoSpaceDE w:val="0"/>
        <w:autoSpaceDN w:val="0"/>
        <w:bidi w:val="0"/>
        <w:adjustRightInd w:val="0"/>
        <w:snapToGrid w:val="0"/>
        <w:spacing w:line="240" w:lineRule="auto"/>
        <w:textAlignment w:val="baseline"/>
        <w:rPr>
          <w:rFonts w:hint="default" w:ascii="楷体" w:hAnsi="楷体" w:eastAsia="楷体" w:cs="楷体"/>
          <w:color w:val="000000"/>
          <w:sz w:val="27"/>
          <w:szCs w:val="27"/>
          <w:lang w:val="en-US" w:eastAsia="zh-CN"/>
        </w:rPr>
      </w:pPr>
      <w:r>
        <w:rPr>
          <w:rFonts w:ascii="楷体" w:hAnsi="楷体" w:eastAsia="楷体" w:cs="楷体"/>
          <w:color w:val="000000"/>
          <w:spacing w:val="-26"/>
          <w:sz w:val="27"/>
          <w:szCs w:val="27"/>
        </w:rPr>
        <w:t>单位名称：</w:t>
      </w:r>
      <w:r>
        <w:rPr>
          <w:rFonts w:hint="eastAsia" w:ascii="楷体" w:hAnsi="楷体" w:eastAsia="楷体" w:cs="楷体"/>
          <w:color w:val="000000"/>
          <w:spacing w:val="-26"/>
          <w:sz w:val="27"/>
          <w:szCs w:val="27"/>
          <w:lang w:val="en-US" w:eastAsia="zh-CN"/>
        </w:rPr>
        <w:t xml:space="preserve"> 仙桃市红十字会                                    </w:t>
      </w:r>
      <w:r>
        <w:rPr>
          <w:rFonts w:ascii="楷体" w:hAnsi="楷体" w:eastAsia="楷体" w:cs="楷体"/>
          <w:color w:val="000000"/>
          <w:spacing w:val="-26"/>
          <w:sz w:val="27"/>
          <w:szCs w:val="27"/>
        </w:rPr>
        <w:t>填报日期：</w:t>
      </w:r>
      <w:r>
        <w:rPr>
          <w:rFonts w:hint="eastAsia" w:ascii="楷体" w:hAnsi="楷体" w:eastAsia="楷体" w:cs="楷体"/>
          <w:color w:val="000000"/>
          <w:spacing w:val="-26"/>
          <w:sz w:val="27"/>
          <w:szCs w:val="27"/>
          <w:lang w:val="en-US" w:eastAsia="zh-CN"/>
        </w:rPr>
        <w:t>2026年9月15日</w:t>
      </w:r>
    </w:p>
    <w:p>
      <w:pPr>
        <w:keepNext w:val="0"/>
        <w:keepLines w:val="0"/>
        <w:pageBreakBefore w:val="0"/>
        <w:widowControl w:val="0"/>
        <w:wordWrap/>
        <w:overflowPunct/>
        <w:topLinePunct w:val="0"/>
        <w:bidi w:val="0"/>
        <w:adjustRightInd w:val="0"/>
        <w:snapToGrid w:val="0"/>
        <w:spacing w:line="129" w:lineRule="exact"/>
        <w:rPr>
          <w:color w:val="000000"/>
        </w:rPr>
      </w:pPr>
    </w:p>
    <w:tbl>
      <w:tblPr>
        <w:tblStyle w:val="8"/>
        <w:tblW w:w="885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4"/>
        <w:gridCol w:w="922"/>
        <w:gridCol w:w="2053"/>
        <w:gridCol w:w="1184"/>
        <w:gridCol w:w="1096"/>
        <w:gridCol w:w="960"/>
        <w:gridCol w:w="184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项目名称</w:t>
            </w:r>
          </w:p>
        </w:tc>
        <w:tc>
          <w:tcPr>
            <w:tcW w:w="7137" w:type="dxa"/>
            <w:gridSpan w:val="5"/>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r>
              <w:rPr>
                <w:rFonts w:hint="eastAsia"/>
                <w:color w:val="000000"/>
              </w:rPr>
              <w:t>仙桃市红十字会三救三献工作项目经费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主管部门</w:t>
            </w:r>
          </w:p>
        </w:tc>
        <w:tc>
          <w:tcPr>
            <w:tcW w:w="3237"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仙桃市红十字会</w:t>
            </w:r>
          </w:p>
        </w:tc>
        <w:tc>
          <w:tcPr>
            <w:tcW w:w="205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1"/>
                <w:sz w:val="22"/>
                <w:szCs w:val="22"/>
              </w:rPr>
              <w:t>项目实施单位</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r>
              <w:rPr>
                <w:rFonts w:hint="eastAsia" w:eastAsia="宋体"/>
                <w:color w:val="000000"/>
                <w:lang w:val="en-US" w:eastAsia="zh-CN"/>
              </w:rPr>
              <w:t>仙桃市红十字会</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4"/>
                <w:sz w:val="22"/>
                <w:szCs w:val="22"/>
              </w:rPr>
              <w:t>项目类别</w:t>
            </w:r>
          </w:p>
        </w:tc>
        <w:tc>
          <w:tcPr>
            <w:tcW w:w="7137" w:type="dxa"/>
            <w:gridSpan w:val="5"/>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226" w:firstLineChars="100"/>
              <w:jc w:val="both"/>
              <w:textAlignment w:val="baseline"/>
              <w:rPr>
                <w:rFonts w:hint="eastAsia" w:ascii="宋体" w:hAnsi="宋体" w:eastAsia="宋体" w:cs="宋体"/>
                <w:color w:val="000000"/>
                <w:sz w:val="22"/>
                <w:szCs w:val="22"/>
                <w:lang w:eastAsia="zh-CN"/>
              </w:rPr>
            </w:pPr>
            <w:r>
              <w:rPr>
                <w:rFonts w:ascii="宋体" w:hAnsi="宋体" w:eastAsia="宋体" w:cs="宋体"/>
                <w:color w:val="000000"/>
                <w:spacing w:val="3"/>
                <w:sz w:val="22"/>
                <w:szCs w:val="22"/>
              </w:rPr>
              <w:t>1</w:t>
            </w:r>
            <w:r>
              <w:rPr>
                <w:rFonts w:hint="eastAsia" w:ascii="宋体" w:hAnsi="宋体" w:eastAsia="宋体" w:cs="宋体"/>
                <w:color w:val="000000"/>
                <w:spacing w:val="3"/>
                <w:sz w:val="22"/>
                <w:szCs w:val="22"/>
                <w:lang w:val="en-US" w:eastAsia="zh-CN"/>
              </w:rPr>
              <w:t>.</w:t>
            </w:r>
            <w:r>
              <w:rPr>
                <w:rFonts w:ascii="宋体" w:hAnsi="宋体" w:eastAsia="宋体" w:cs="宋体"/>
                <w:color w:val="000000"/>
                <w:spacing w:val="3"/>
                <w:sz w:val="22"/>
                <w:szCs w:val="22"/>
              </w:rPr>
              <w:t>部门预算项目</w:t>
            </w:r>
            <w:r>
              <w:rPr>
                <w:rFonts w:ascii="宋体" w:hAnsi="宋体" w:eastAsia="宋体" w:cs="宋体"/>
                <w:color w:val="000000"/>
                <w:spacing w:val="3"/>
                <w:sz w:val="22"/>
                <w:szCs w:val="22"/>
              </w:rPr>
              <w:sym w:font="Wingdings 2" w:char="0052"/>
            </w:r>
            <w:r>
              <w:rPr>
                <w:rFonts w:hint="eastAsia" w:ascii="宋体" w:hAnsi="宋体" w:eastAsia="宋体" w:cs="宋体"/>
                <w:color w:val="000000"/>
                <w:spacing w:val="3"/>
                <w:sz w:val="22"/>
                <w:szCs w:val="22"/>
                <w:lang w:val="en-US" w:eastAsia="zh-CN"/>
              </w:rPr>
              <w:t xml:space="preserve">  </w:t>
            </w:r>
            <w:r>
              <w:rPr>
                <w:rFonts w:ascii="宋体" w:hAnsi="宋体" w:eastAsia="宋体" w:cs="宋体"/>
                <w:color w:val="000000"/>
                <w:spacing w:val="3"/>
                <w:position w:val="-1"/>
                <w:sz w:val="22"/>
                <w:szCs w:val="22"/>
              </w:rPr>
              <w:t>2</w:t>
            </w:r>
            <w:r>
              <w:rPr>
                <w:rFonts w:hint="eastAsia" w:ascii="宋体" w:hAnsi="宋体" w:eastAsia="宋体" w:cs="宋体"/>
                <w:color w:val="000000"/>
                <w:spacing w:val="3"/>
                <w:position w:val="-1"/>
                <w:sz w:val="22"/>
                <w:szCs w:val="22"/>
                <w:lang w:val="en-US" w:eastAsia="zh-CN"/>
              </w:rPr>
              <w:t>.市</w:t>
            </w:r>
            <w:r>
              <w:rPr>
                <w:rFonts w:ascii="宋体" w:hAnsi="宋体" w:eastAsia="宋体" w:cs="宋体"/>
                <w:color w:val="000000"/>
                <w:spacing w:val="3"/>
                <w:position w:val="-1"/>
                <w:sz w:val="22"/>
                <w:szCs w:val="22"/>
              </w:rPr>
              <w:t>直专项</w:t>
            </w:r>
            <w:r>
              <w:rPr>
                <w:rFonts w:ascii="宋体" w:hAnsi="宋体" w:eastAsia="宋体" w:cs="宋体"/>
                <w:color w:val="000000"/>
                <w:spacing w:val="3"/>
                <w:sz w:val="22"/>
                <w:szCs w:val="22"/>
              </w:rPr>
              <w:t>□</w:t>
            </w:r>
            <w:r>
              <w:rPr>
                <w:rFonts w:hint="eastAsia" w:ascii="宋体" w:hAnsi="宋体" w:eastAsia="宋体" w:cs="宋体"/>
                <w:color w:val="000000"/>
                <w:spacing w:val="3"/>
                <w:sz w:val="22"/>
                <w:szCs w:val="22"/>
                <w:lang w:val="en-US" w:eastAsia="zh-CN"/>
              </w:rPr>
              <w:t xml:space="preserve">  </w:t>
            </w:r>
            <w:r>
              <w:rPr>
                <w:rFonts w:ascii="宋体" w:hAnsi="宋体" w:eastAsia="宋体" w:cs="宋体"/>
                <w:color w:val="000000"/>
                <w:spacing w:val="3"/>
                <w:sz w:val="22"/>
                <w:szCs w:val="22"/>
              </w:rPr>
              <w:t>3</w:t>
            </w:r>
            <w:r>
              <w:rPr>
                <w:rFonts w:hint="eastAsia" w:ascii="宋体" w:hAnsi="宋体" w:eastAsia="宋体" w:cs="宋体"/>
                <w:color w:val="000000"/>
                <w:spacing w:val="3"/>
                <w:sz w:val="22"/>
                <w:szCs w:val="22"/>
                <w:lang w:val="en-US" w:eastAsia="zh-CN"/>
              </w:rPr>
              <w:t>.上级专项、</w:t>
            </w:r>
            <w:r>
              <w:rPr>
                <w:rFonts w:ascii="宋体" w:hAnsi="宋体" w:eastAsia="宋体" w:cs="宋体"/>
                <w:color w:val="000000"/>
                <w:spacing w:val="3"/>
                <w:sz w:val="22"/>
                <w:szCs w:val="22"/>
              </w:rPr>
              <w:t>转移支付项目□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项目属性</w:t>
            </w:r>
          </w:p>
        </w:tc>
        <w:tc>
          <w:tcPr>
            <w:tcW w:w="7137" w:type="dxa"/>
            <w:gridSpan w:val="5"/>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226" w:firstLineChars="100"/>
              <w:jc w:val="both"/>
              <w:textAlignment w:val="baseline"/>
              <w:rPr>
                <w:rFonts w:ascii="宋体" w:hAnsi="宋体" w:eastAsia="宋体" w:cs="宋体"/>
                <w:color w:val="000000"/>
                <w:sz w:val="22"/>
                <w:szCs w:val="22"/>
              </w:rPr>
            </w:pPr>
            <w:r>
              <w:rPr>
                <w:rFonts w:ascii="宋体" w:hAnsi="宋体" w:eastAsia="宋体" w:cs="宋体"/>
                <w:color w:val="000000"/>
                <w:spacing w:val="3"/>
                <w:position w:val="3"/>
                <w:sz w:val="22"/>
                <w:szCs w:val="22"/>
              </w:rPr>
              <w:t>1</w:t>
            </w:r>
            <w:r>
              <w:rPr>
                <w:rFonts w:hint="eastAsia" w:ascii="宋体" w:hAnsi="宋体" w:eastAsia="宋体" w:cs="宋体"/>
                <w:color w:val="000000"/>
                <w:spacing w:val="3"/>
                <w:position w:val="3"/>
                <w:sz w:val="22"/>
                <w:szCs w:val="22"/>
                <w:lang w:val="en-US" w:eastAsia="zh-CN"/>
              </w:rPr>
              <w:t>.</w:t>
            </w:r>
            <w:r>
              <w:rPr>
                <w:rFonts w:ascii="宋体" w:hAnsi="宋体" w:eastAsia="宋体" w:cs="宋体"/>
                <w:color w:val="000000"/>
                <w:spacing w:val="3"/>
                <w:position w:val="3"/>
                <w:sz w:val="22"/>
                <w:szCs w:val="22"/>
              </w:rPr>
              <w:t>持续性项目</w:t>
            </w:r>
            <w:r>
              <w:rPr>
                <w:rFonts w:hint="eastAsia" w:ascii="宋体" w:hAnsi="宋体" w:eastAsia="宋体" w:cs="宋体"/>
                <w:color w:val="000000"/>
                <w:spacing w:val="3"/>
                <w:position w:val="-1"/>
                <w:sz w:val="22"/>
                <w:szCs w:val="22"/>
                <w:lang w:eastAsia="zh-CN"/>
              </w:rPr>
              <w:sym w:font="Wingdings 2" w:char="0052"/>
            </w:r>
            <w:r>
              <w:rPr>
                <w:rFonts w:hint="eastAsia" w:ascii="宋体" w:hAnsi="宋体" w:eastAsia="宋体" w:cs="宋体"/>
                <w:color w:val="000000"/>
                <w:spacing w:val="3"/>
                <w:position w:val="-1"/>
                <w:sz w:val="22"/>
                <w:szCs w:val="22"/>
                <w:lang w:val="en-US" w:eastAsia="zh-CN"/>
              </w:rPr>
              <w:t xml:space="preserve">  </w:t>
            </w:r>
            <w:r>
              <w:rPr>
                <w:rFonts w:ascii="宋体" w:hAnsi="宋体" w:eastAsia="宋体" w:cs="宋体"/>
                <w:color w:val="000000"/>
                <w:spacing w:val="3"/>
                <w:position w:val="2"/>
                <w:sz w:val="22"/>
                <w:szCs w:val="22"/>
              </w:rPr>
              <w:t>2</w:t>
            </w:r>
            <w:r>
              <w:rPr>
                <w:rFonts w:hint="eastAsia" w:ascii="宋体" w:hAnsi="宋体" w:eastAsia="宋体" w:cs="宋体"/>
                <w:color w:val="000000"/>
                <w:spacing w:val="3"/>
                <w:position w:val="2"/>
                <w:sz w:val="22"/>
                <w:szCs w:val="22"/>
                <w:lang w:val="en-US" w:eastAsia="zh-CN"/>
              </w:rPr>
              <w:t>.</w:t>
            </w:r>
            <w:r>
              <w:rPr>
                <w:rFonts w:ascii="宋体" w:hAnsi="宋体" w:eastAsia="宋体" w:cs="宋体"/>
                <w:color w:val="000000"/>
                <w:spacing w:val="3"/>
                <w:position w:val="2"/>
                <w:sz w:val="22"/>
                <w:szCs w:val="22"/>
              </w:rPr>
              <w:t>新增性项目□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3"/>
                <w:sz w:val="22"/>
                <w:szCs w:val="22"/>
              </w:rPr>
              <w:t>项目类型</w:t>
            </w:r>
          </w:p>
        </w:tc>
        <w:tc>
          <w:tcPr>
            <w:tcW w:w="7137" w:type="dxa"/>
            <w:gridSpan w:val="5"/>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224" w:firstLineChars="100"/>
              <w:jc w:val="both"/>
              <w:textAlignment w:val="baseline"/>
              <w:rPr>
                <w:rFonts w:ascii="宋体" w:hAnsi="宋体" w:eastAsia="宋体" w:cs="宋体"/>
                <w:color w:val="000000"/>
                <w:sz w:val="22"/>
                <w:szCs w:val="22"/>
              </w:rPr>
            </w:pPr>
            <w:r>
              <w:rPr>
                <w:rFonts w:ascii="宋体" w:hAnsi="宋体" w:eastAsia="宋体" w:cs="宋体"/>
                <w:color w:val="000000"/>
                <w:spacing w:val="2"/>
                <w:sz w:val="22"/>
                <w:szCs w:val="22"/>
              </w:rPr>
              <w:t>1</w:t>
            </w:r>
            <w:r>
              <w:rPr>
                <w:rFonts w:hint="eastAsia" w:ascii="宋体" w:hAnsi="宋体" w:eastAsia="宋体" w:cs="宋体"/>
                <w:color w:val="000000"/>
                <w:spacing w:val="2"/>
                <w:sz w:val="22"/>
                <w:szCs w:val="22"/>
                <w:lang w:val="en-US" w:eastAsia="zh-CN"/>
              </w:rPr>
              <w:t>.</w:t>
            </w:r>
            <w:r>
              <w:rPr>
                <w:rFonts w:ascii="宋体" w:hAnsi="宋体" w:eastAsia="宋体" w:cs="宋体"/>
                <w:color w:val="000000"/>
                <w:spacing w:val="2"/>
                <w:sz w:val="22"/>
                <w:szCs w:val="22"/>
              </w:rPr>
              <w:t>常年性项目</w:t>
            </w:r>
            <w:r>
              <w:rPr>
                <w:rFonts w:ascii="宋体" w:hAnsi="宋体" w:eastAsia="宋体" w:cs="宋体"/>
                <w:color w:val="000000"/>
                <w:spacing w:val="3"/>
                <w:sz w:val="22"/>
                <w:szCs w:val="22"/>
              </w:rPr>
              <w:sym w:font="Wingdings 2" w:char="0052"/>
            </w:r>
            <w:r>
              <w:rPr>
                <w:rFonts w:hint="eastAsia" w:ascii="宋体" w:hAnsi="宋体" w:eastAsia="宋体" w:cs="宋体"/>
                <w:color w:val="000000"/>
                <w:spacing w:val="3"/>
                <w:sz w:val="22"/>
                <w:szCs w:val="22"/>
                <w:lang w:val="en-US" w:eastAsia="zh-CN"/>
              </w:rPr>
              <w:t xml:space="preserve">  </w:t>
            </w:r>
            <w:r>
              <w:rPr>
                <w:rFonts w:ascii="宋体" w:hAnsi="宋体" w:eastAsia="宋体" w:cs="宋体"/>
                <w:color w:val="000000"/>
                <w:spacing w:val="2"/>
                <w:position w:val="-2"/>
                <w:sz w:val="22"/>
                <w:szCs w:val="22"/>
              </w:rPr>
              <w:t>2</w:t>
            </w:r>
            <w:r>
              <w:rPr>
                <w:rFonts w:hint="eastAsia" w:ascii="宋体" w:hAnsi="宋体" w:eastAsia="宋体" w:cs="宋体"/>
                <w:color w:val="000000"/>
                <w:spacing w:val="2"/>
                <w:position w:val="-2"/>
                <w:sz w:val="22"/>
                <w:szCs w:val="22"/>
                <w:lang w:val="en-US" w:eastAsia="zh-CN"/>
              </w:rPr>
              <w:t>.</w:t>
            </w:r>
            <w:r>
              <w:rPr>
                <w:rFonts w:ascii="宋体" w:hAnsi="宋体" w:eastAsia="宋体" w:cs="宋体"/>
                <w:color w:val="000000"/>
                <w:spacing w:val="2"/>
                <w:position w:val="-2"/>
                <w:sz w:val="22"/>
                <w:szCs w:val="22"/>
              </w:rPr>
              <w:t>延续性项目□</w:t>
            </w:r>
            <w:r>
              <w:rPr>
                <w:rFonts w:hint="eastAsia" w:ascii="宋体" w:hAnsi="宋体" w:eastAsia="宋体" w:cs="宋体"/>
                <w:color w:val="000000"/>
                <w:spacing w:val="2"/>
                <w:position w:val="-2"/>
                <w:sz w:val="22"/>
                <w:szCs w:val="22"/>
                <w:lang w:val="en-US" w:eastAsia="zh-CN"/>
              </w:rPr>
              <w:t xml:space="preserve">  </w:t>
            </w:r>
            <w:r>
              <w:rPr>
                <w:rFonts w:ascii="宋体" w:hAnsi="宋体" w:eastAsia="宋体" w:cs="宋体"/>
                <w:color w:val="000000"/>
                <w:spacing w:val="2"/>
                <w:position w:val="1"/>
                <w:sz w:val="22"/>
                <w:szCs w:val="22"/>
              </w:rPr>
              <w:t>3</w:t>
            </w:r>
            <w:r>
              <w:rPr>
                <w:rFonts w:hint="eastAsia" w:ascii="宋体" w:hAnsi="宋体" w:eastAsia="宋体" w:cs="宋体"/>
                <w:color w:val="000000"/>
                <w:spacing w:val="2"/>
                <w:position w:val="1"/>
                <w:sz w:val="22"/>
                <w:szCs w:val="22"/>
                <w:lang w:val="en-US" w:eastAsia="zh-CN"/>
              </w:rPr>
              <w:t>.</w:t>
            </w:r>
            <w:r>
              <w:rPr>
                <w:rFonts w:ascii="宋体" w:hAnsi="宋体" w:eastAsia="宋体" w:cs="宋体"/>
                <w:color w:val="000000"/>
                <w:spacing w:val="2"/>
                <w:position w:val="1"/>
                <w:sz w:val="22"/>
                <w:szCs w:val="22"/>
              </w:rPr>
              <w:t>一次性项目□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716" w:type="dxa"/>
            <w:gridSpan w:val="2"/>
            <w:vMerge w:val="restart"/>
            <w:tcBorders>
              <w:bottom w:val="nil"/>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预算执行情况</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12"/>
                <w:sz w:val="22"/>
                <w:szCs w:val="22"/>
              </w:rPr>
              <w:t>(万元)</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p>
        </w:tc>
        <w:tc>
          <w:tcPr>
            <w:tcW w:w="2053"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1184"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8"/>
                <w:sz w:val="22"/>
                <w:szCs w:val="22"/>
              </w:rPr>
              <w:t>预算数(A)</w:t>
            </w:r>
          </w:p>
        </w:tc>
        <w:tc>
          <w:tcPr>
            <w:tcW w:w="1096"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8"/>
                <w:sz w:val="22"/>
                <w:szCs w:val="22"/>
              </w:rPr>
              <w:t>执行数(B)</w:t>
            </w:r>
          </w:p>
        </w:tc>
        <w:tc>
          <w:tcPr>
            <w:tcW w:w="2804"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执行率(B/A)</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716" w:type="dxa"/>
            <w:gridSpan w:val="2"/>
            <w:vMerge w:val="continue"/>
            <w:tcBorders>
              <w:top w:val="nil"/>
              <w:bottom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2053" w:type="dxa"/>
            <w:tcBorders>
              <w:bottom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3"/>
                <w:sz w:val="22"/>
                <w:szCs w:val="22"/>
              </w:rPr>
              <w:t>年度财政</w:t>
            </w:r>
            <w:r>
              <w:rPr>
                <w:rFonts w:ascii="宋体" w:hAnsi="宋体" w:eastAsia="宋体" w:cs="宋体"/>
                <w:color w:val="000000"/>
                <w:spacing w:val="2"/>
                <w:sz w:val="22"/>
                <w:szCs w:val="22"/>
              </w:rPr>
              <w:t>资金总额</w:t>
            </w:r>
          </w:p>
        </w:tc>
        <w:tc>
          <w:tcPr>
            <w:tcW w:w="118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39.71</w:t>
            </w:r>
          </w:p>
        </w:tc>
        <w:tc>
          <w:tcPr>
            <w:tcW w:w="1096"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39.71</w:t>
            </w:r>
          </w:p>
        </w:tc>
        <w:tc>
          <w:tcPr>
            <w:tcW w:w="2804"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100%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0" w:hRule="atLeast"/>
        </w:trPr>
        <w:tc>
          <w:tcPr>
            <w:tcW w:w="794" w:type="dxa"/>
            <w:vMerge w:val="restart"/>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年度</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4"/>
                <w:sz w:val="22"/>
                <w:szCs w:val="22"/>
              </w:rPr>
              <w:t>绩效</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7"/>
                <w:sz w:val="22"/>
                <w:szCs w:val="22"/>
              </w:rPr>
              <w:t>目标1</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p>
        </w:tc>
        <w:tc>
          <w:tcPr>
            <w:tcW w:w="9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hanging="20"/>
              <w:jc w:val="center"/>
              <w:textAlignment w:val="baseline"/>
              <w:rPr>
                <w:rFonts w:ascii="宋体" w:hAnsi="宋体" w:eastAsia="宋体" w:cs="宋体"/>
                <w:color w:val="000000"/>
                <w:spacing w:val="6"/>
                <w:sz w:val="22"/>
                <w:szCs w:val="22"/>
              </w:rPr>
            </w:pPr>
            <w:r>
              <w:rPr>
                <w:rFonts w:ascii="宋体" w:hAnsi="宋体" w:eastAsia="宋体" w:cs="宋体"/>
                <w:color w:val="000000"/>
                <w:spacing w:val="6"/>
                <w:sz w:val="22"/>
                <w:szCs w:val="22"/>
              </w:rPr>
              <w:t>一级</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hanging="2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指标</w:t>
            </w:r>
          </w:p>
        </w:tc>
        <w:tc>
          <w:tcPr>
            <w:tcW w:w="20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二级指标</w:t>
            </w:r>
          </w:p>
        </w:tc>
        <w:tc>
          <w:tcPr>
            <w:tcW w:w="2280" w:type="dxa"/>
            <w:gridSpan w:val="2"/>
            <w:tcBorders>
              <w:lef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三级指标</w:t>
            </w:r>
          </w:p>
        </w:tc>
        <w:tc>
          <w:tcPr>
            <w:tcW w:w="960"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2"/>
                <w:sz w:val="22"/>
                <w:szCs w:val="22"/>
              </w:rPr>
              <w:t>年初目标值</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11"/>
                <w:sz w:val="22"/>
                <w:szCs w:val="22"/>
              </w:rPr>
              <w:t>(A)</w:t>
            </w:r>
          </w:p>
        </w:tc>
        <w:tc>
          <w:tcPr>
            <w:tcW w:w="1844" w:type="dxa"/>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ascii="宋体" w:hAnsi="宋体" w:eastAsia="宋体" w:cs="宋体"/>
                <w:color w:val="000000"/>
                <w:sz w:val="22"/>
                <w:szCs w:val="22"/>
              </w:rPr>
            </w:pPr>
            <w:r>
              <w:rPr>
                <w:rFonts w:ascii="宋体" w:hAnsi="宋体" w:eastAsia="宋体" w:cs="宋体"/>
                <w:color w:val="000000"/>
                <w:spacing w:val="6"/>
                <w:sz w:val="22"/>
                <w:szCs w:val="22"/>
              </w:rPr>
              <w:t>实际完成值(B)</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成本</w:t>
            </w:r>
          </w:p>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zh-CN" w:bidi="ar-SA"/>
              </w:rPr>
            </w:pPr>
            <w:r>
              <w:rPr>
                <w:rFonts w:hint="eastAsia" w:ascii="宋体" w:hAnsi="宋体" w:eastAsia="宋体" w:cs="宋体"/>
                <w:i w:val="0"/>
                <w:color w:val="000000"/>
                <w:kern w:val="0"/>
                <w:sz w:val="21"/>
                <w:szCs w:val="21"/>
                <w:u w:val="none"/>
                <w:lang w:val="en-US" w:eastAsia="zh-CN" w:bidi="ar"/>
              </w:rPr>
              <w:t>指标</w:t>
            </w:r>
          </w:p>
        </w:tc>
        <w:tc>
          <w:tcPr>
            <w:tcW w:w="20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en-US" w:bidi="ar-SA"/>
              </w:rPr>
            </w:pPr>
            <w:r>
              <w:rPr>
                <w:rFonts w:hint="eastAsia" w:ascii="宋体" w:hAnsi="宋体" w:eastAsia="宋体" w:cs="宋体"/>
                <w:i w:val="0"/>
                <w:color w:val="000000"/>
                <w:kern w:val="0"/>
                <w:sz w:val="21"/>
                <w:szCs w:val="21"/>
                <w:u w:val="none"/>
                <w:lang w:val="en-US" w:eastAsia="zh-CN" w:bidi="ar"/>
              </w:rPr>
              <w:t>经济成本指标</w:t>
            </w: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r>
              <w:rPr>
                <w:rFonts w:hint="eastAsia"/>
                <w:color w:val="000000"/>
              </w:rPr>
              <w:t>培训救护员费用</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r>
              <w:rPr>
                <w:rFonts w:hint="eastAsia" w:eastAsia="宋体"/>
                <w:color w:val="000000"/>
                <w:lang w:val="en-US" w:eastAsia="zh-CN"/>
              </w:rPr>
              <w:t>100</w:t>
            </w:r>
            <w:r>
              <w:rPr>
                <w:rFonts w:hint="eastAsia"/>
                <w:color w:val="000000"/>
              </w:rPr>
              <w:t>元/人</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80</w:t>
            </w:r>
            <w:r>
              <w:rPr>
                <w:rFonts w:hint="eastAsia"/>
                <w:color w:val="000000"/>
              </w:rPr>
              <w:t>元/人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产出</w:t>
            </w:r>
          </w:p>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zh-CN" w:bidi="ar-SA"/>
              </w:rPr>
            </w:pPr>
            <w:r>
              <w:rPr>
                <w:rFonts w:hint="eastAsia" w:ascii="宋体" w:hAnsi="宋体" w:eastAsia="宋体" w:cs="宋体"/>
                <w:i w:val="0"/>
                <w:color w:val="000000"/>
                <w:kern w:val="0"/>
                <w:sz w:val="21"/>
                <w:szCs w:val="21"/>
                <w:u w:val="none"/>
                <w:lang w:val="en-US" w:eastAsia="zh-CN" w:bidi="ar"/>
              </w:rPr>
              <w:t>指标</w:t>
            </w:r>
          </w:p>
        </w:tc>
        <w:tc>
          <w:tcPr>
            <w:tcW w:w="2053"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en-US" w:bidi="ar-SA"/>
              </w:rPr>
            </w:pPr>
            <w:r>
              <w:rPr>
                <w:rFonts w:hint="eastAsia" w:ascii="宋体" w:hAnsi="宋体" w:eastAsia="宋体" w:cs="宋体"/>
                <w:i w:val="0"/>
                <w:color w:val="000000"/>
                <w:kern w:val="0"/>
                <w:sz w:val="21"/>
                <w:szCs w:val="21"/>
                <w:u w:val="none"/>
                <w:lang w:val="en-US" w:eastAsia="zh-CN" w:bidi="ar"/>
              </w:rPr>
              <w:t>数量指标</w:t>
            </w:r>
          </w:p>
        </w:tc>
        <w:tc>
          <w:tcPr>
            <w:tcW w:w="2280" w:type="dxa"/>
            <w:gridSpan w:val="2"/>
            <w:tcBorders>
              <w:lef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i w:val="0"/>
                <w:iCs w:val="0"/>
                <w:snapToGrid w:val="0"/>
                <w:color w:val="000000"/>
                <w:kern w:val="0"/>
                <w:sz w:val="24"/>
                <w:szCs w:val="24"/>
                <w:u w:val="none"/>
                <w:lang w:val="en-US" w:eastAsia="zh-CN" w:bidi="ar"/>
              </w:rPr>
              <w:t>救护员培训数量</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1000人</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1047人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053"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280" w:type="dxa"/>
            <w:gridSpan w:val="2"/>
            <w:tcBorders>
              <w:lef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i w:val="0"/>
                <w:iCs w:val="0"/>
                <w:snapToGrid w:val="0"/>
                <w:color w:val="000000"/>
                <w:kern w:val="0"/>
                <w:sz w:val="24"/>
                <w:szCs w:val="24"/>
                <w:u w:val="none"/>
                <w:lang w:val="en-US" w:eastAsia="zh-CN" w:bidi="ar"/>
              </w:rPr>
              <w:t>应急救护知识普及</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25000人次</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30000人次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053"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280" w:type="dxa"/>
            <w:gridSpan w:val="2"/>
            <w:tcBorders>
              <w:left w:val="single" w:color="auto"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防溺水进校园</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30场</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47场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053"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280" w:type="dxa"/>
            <w:gridSpan w:val="2"/>
            <w:tcBorders>
              <w:left w:val="single" w:color="auto" w:sz="4" w:space="0"/>
            </w:tcBorders>
            <w:noWrap w:val="0"/>
            <w:vAlign w:val="center"/>
          </w:tcPr>
          <w:p>
            <w:pPr>
              <w:keepNext w:val="0"/>
              <w:keepLines w:val="0"/>
              <w:widowControl/>
              <w:suppressLineNumbers w:val="0"/>
              <w:jc w:val="center"/>
              <w:textAlignment w:val="center"/>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遗体器官捐献</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1例</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3例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053" w:type="dxa"/>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280" w:type="dxa"/>
            <w:gridSpan w:val="2"/>
            <w:tcBorders>
              <w:left w:val="single" w:color="auto" w:sz="4" w:space="0"/>
            </w:tcBorders>
            <w:noWrap w:val="0"/>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i w:val="0"/>
                <w:iCs w:val="0"/>
                <w:snapToGrid w:val="0"/>
                <w:color w:val="000000"/>
                <w:kern w:val="0"/>
                <w:sz w:val="24"/>
                <w:szCs w:val="24"/>
                <w:u w:val="none"/>
                <w:lang w:val="en-US" w:eastAsia="zh-CN" w:bidi="ar"/>
              </w:rPr>
              <w:t>造血干细胞登记</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100个</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103个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color w:val="000000"/>
                <w:sz w:val="22"/>
                <w:szCs w:val="22"/>
                <w:highlight w:val="yellow"/>
                <w:lang w:val="en-US" w:eastAsia="zh-CN"/>
              </w:rPr>
            </w:pPr>
          </w:p>
        </w:tc>
        <w:tc>
          <w:tcPr>
            <w:tcW w:w="205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en-US" w:bidi="ar-SA"/>
              </w:rPr>
            </w:pPr>
            <w:r>
              <w:rPr>
                <w:rFonts w:hint="eastAsia" w:ascii="宋体" w:hAnsi="宋体" w:eastAsia="宋体" w:cs="宋体"/>
                <w:i w:val="0"/>
                <w:color w:val="000000"/>
                <w:kern w:val="0"/>
                <w:sz w:val="21"/>
                <w:szCs w:val="21"/>
                <w:u w:val="none"/>
                <w:lang w:val="en-US" w:eastAsia="zh-CN" w:bidi="ar"/>
              </w:rPr>
              <w:t>质量指标</w:t>
            </w: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救护员培训质量</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80%</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color w:val="000000"/>
                <w:sz w:val="22"/>
                <w:szCs w:val="22"/>
                <w:highlight w:val="yellow"/>
                <w:lang w:val="en-US" w:eastAsia="zh-CN"/>
              </w:rPr>
            </w:pPr>
          </w:p>
        </w:tc>
        <w:tc>
          <w:tcPr>
            <w:tcW w:w="2053" w:type="dxa"/>
            <w:vMerge w:val="restart"/>
            <w:tcBorders>
              <w:top w:val="single" w:color="auto"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snapToGrid w:val="0"/>
                <w:color w:val="000000"/>
                <w:kern w:val="0"/>
                <w:sz w:val="21"/>
                <w:szCs w:val="21"/>
                <w:u w:val="none"/>
                <w:lang w:val="en-US" w:eastAsia="en-US" w:bidi="ar-SA"/>
              </w:rPr>
            </w:pPr>
            <w:r>
              <w:rPr>
                <w:rFonts w:hint="eastAsia" w:ascii="宋体" w:hAnsi="宋体" w:eastAsia="宋体" w:cs="宋体"/>
                <w:i w:val="0"/>
                <w:color w:val="000000"/>
                <w:kern w:val="0"/>
                <w:sz w:val="21"/>
                <w:szCs w:val="21"/>
                <w:u w:val="none"/>
                <w:lang w:val="en-US" w:eastAsia="zh-CN" w:bidi="ar"/>
              </w:rPr>
              <w:t>社会效益指标</w:t>
            </w: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r>
              <w:rPr>
                <w:rFonts w:hint="eastAsia"/>
                <w:color w:val="000000"/>
              </w:rPr>
              <w:t>群众应急救护能力</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20000</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25000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94" w:type="dxa"/>
            <w:vMerge w:val="continue"/>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rPr>
            </w:pPr>
          </w:p>
        </w:tc>
        <w:tc>
          <w:tcPr>
            <w:tcW w:w="922"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eastAsia" w:ascii="宋体" w:hAnsi="宋体" w:eastAsia="宋体" w:cs="宋体"/>
                <w:color w:val="000000"/>
                <w:sz w:val="22"/>
                <w:szCs w:val="22"/>
                <w:highlight w:val="yellow"/>
                <w:lang w:val="en-US" w:eastAsia="zh-CN"/>
              </w:rPr>
            </w:pPr>
          </w:p>
        </w:tc>
        <w:tc>
          <w:tcPr>
            <w:tcW w:w="2053" w:type="dxa"/>
            <w:vMerge w:val="continue"/>
            <w:tcBorders>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p>
        </w:tc>
        <w:tc>
          <w:tcPr>
            <w:tcW w:w="2280" w:type="dxa"/>
            <w:gridSpan w:val="2"/>
            <w:tcBorders>
              <w:left w:val="single" w:color="auto" w:sz="4" w:space="0"/>
            </w:tcBorders>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人道资源动员</w:t>
            </w:r>
          </w:p>
        </w:tc>
        <w:tc>
          <w:tcPr>
            <w:tcW w:w="960"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1000人次</w:t>
            </w:r>
          </w:p>
        </w:tc>
        <w:tc>
          <w:tcPr>
            <w:tcW w:w="1844" w:type="dxa"/>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1189人次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716" w:type="dxa"/>
            <w:gridSpan w:val="2"/>
            <w:noWrap w:val="0"/>
            <w:vAlign w:val="center"/>
          </w:tcPr>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99"/>
              <w:jc w:val="center"/>
              <w:textAlignment w:val="baseline"/>
              <w:rPr>
                <w:rFonts w:ascii="宋体" w:hAnsi="宋体" w:eastAsia="宋体" w:cs="宋体"/>
                <w:color w:val="000000"/>
                <w:spacing w:val="1"/>
                <w:sz w:val="22"/>
                <w:szCs w:val="22"/>
              </w:rPr>
            </w:pPr>
            <w:r>
              <w:rPr>
                <w:rFonts w:ascii="宋体" w:hAnsi="宋体" w:eastAsia="宋体" w:cs="宋体"/>
                <w:color w:val="000000"/>
                <w:spacing w:val="-2"/>
                <w:sz w:val="22"/>
                <w:szCs w:val="22"/>
              </w:rPr>
              <w:t>偏差大或</w:t>
            </w:r>
            <w:r>
              <w:rPr>
                <w:rFonts w:ascii="宋体" w:hAnsi="宋体" w:eastAsia="宋体" w:cs="宋体"/>
                <w:color w:val="000000"/>
                <w:spacing w:val="1"/>
                <w:sz w:val="22"/>
                <w:szCs w:val="22"/>
              </w:rPr>
              <w:t>目标</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99"/>
              <w:jc w:val="center"/>
              <w:textAlignment w:val="baseline"/>
              <w:rPr>
                <w:rFonts w:ascii="宋体" w:hAnsi="宋体" w:eastAsia="宋体" w:cs="宋体"/>
                <w:color w:val="000000"/>
                <w:spacing w:val="1"/>
                <w:sz w:val="22"/>
                <w:szCs w:val="22"/>
              </w:rPr>
            </w:pPr>
            <w:r>
              <w:rPr>
                <w:rFonts w:ascii="宋体" w:hAnsi="宋体" w:eastAsia="宋体" w:cs="宋体"/>
                <w:color w:val="000000"/>
                <w:spacing w:val="1"/>
                <w:sz w:val="22"/>
                <w:szCs w:val="22"/>
              </w:rPr>
              <w:t>未完成</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99"/>
              <w:jc w:val="center"/>
              <w:textAlignment w:val="baseline"/>
              <w:rPr>
                <w:rFonts w:ascii="宋体" w:hAnsi="宋体" w:eastAsia="宋体" w:cs="宋体"/>
                <w:color w:val="000000"/>
                <w:sz w:val="22"/>
                <w:szCs w:val="22"/>
              </w:rPr>
            </w:pPr>
            <w:r>
              <w:rPr>
                <w:rFonts w:ascii="宋体" w:hAnsi="宋体" w:eastAsia="宋体" w:cs="宋体"/>
                <w:color w:val="000000"/>
                <w:spacing w:val="27"/>
                <w:sz w:val="22"/>
                <w:szCs w:val="22"/>
              </w:rPr>
              <w:t>原因分析</w:t>
            </w:r>
          </w:p>
        </w:tc>
        <w:tc>
          <w:tcPr>
            <w:tcW w:w="7137" w:type="dxa"/>
            <w:gridSpan w:val="5"/>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6" w:hRule="atLeast"/>
        </w:trPr>
        <w:tc>
          <w:tcPr>
            <w:tcW w:w="1716" w:type="dxa"/>
            <w:gridSpan w:val="2"/>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color w:val="000000"/>
                <w:sz w:val="22"/>
                <w:szCs w:val="22"/>
              </w:rPr>
            </w:pP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100"/>
              <w:jc w:val="center"/>
              <w:textAlignment w:val="baseline"/>
              <w:rPr>
                <w:rFonts w:ascii="宋体" w:hAnsi="宋体" w:eastAsia="宋体" w:cs="宋体"/>
                <w:color w:val="000000"/>
                <w:spacing w:val="2"/>
                <w:sz w:val="22"/>
                <w:szCs w:val="22"/>
              </w:rPr>
            </w:pPr>
            <w:r>
              <w:rPr>
                <w:rFonts w:ascii="宋体" w:hAnsi="宋体" w:eastAsia="宋体" w:cs="宋体"/>
                <w:color w:val="000000"/>
                <w:spacing w:val="2"/>
                <w:sz w:val="22"/>
                <w:szCs w:val="22"/>
              </w:rPr>
              <w:t>改进措施及</w:t>
            </w:r>
          </w:p>
          <w:p>
            <w:pPr>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firstLine="100"/>
              <w:jc w:val="center"/>
              <w:textAlignment w:val="baseline"/>
              <w:rPr>
                <w:rFonts w:ascii="宋体" w:hAnsi="宋体" w:eastAsia="宋体" w:cs="宋体"/>
                <w:color w:val="000000"/>
                <w:sz w:val="22"/>
                <w:szCs w:val="22"/>
              </w:rPr>
            </w:pPr>
            <w:r>
              <w:rPr>
                <w:rFonts w:ascii="宋体" w:hAnsi="宋体" w:eastAsia="宋体" w:cs="宋体"/>
                <w:color w:val="000000"/>
                <w:spacing w:val="1"/>
                <w:sz w:val="22"/>
                <w:szCs w:val="22"/>
              </w:rPr>
              <w:t>结果应用方案</w:t>
            </w:r>
          </w:p>
        </w:tc>
        <w:tc>
          <w:tcPr>
            <w:tcW w:w="7137" w:type="dxa"/>
            <w:gridSpan w:val="5"/>
            <w:noWrap w:val="0"/>
            <w:vAlign w:val="center"/>
          </w:tcPr>
          <w:p>
            <w:pPr>
              <w:pStyle w:val="9"/>
              <w:keepNext w:val="0"/>
              <w:keepLines w:val="0"/>
              <w:pageBreakBefore w:val="0"/>
              <w:widowControl w:val="0"/>
              <w:kinsoku w:val="0"/>
              <w:wordWrap/>
              <w:overflowPunct/>
              <w:topLinePunct w:val="0"/>
              <w:autoSpaceDE w:val="0"/>
              <w:autoSpaceDN w:val="0"/>
              <w:bidi w:val="0"/>
              <w:adjustRightInd w:val="0"/>
              <w:snapToGrid w:val="0"/>
              <w:spacing w:line="240" w:lineRule="auto"/>
              <w:ind w:left="0" w:right="0"/>
              <w:jc w:val="center"/>
              <w:textAlignment w:val="baseline"/>
              <w:rPr>
                <w:rFonts w:hint="default" w:eastAsia="宋体"/>
                <w:color w:val="000000"/>
                <w:lang w:val="en-US" w:eastAsia="zh-CN"/>
              </w:rPr>
            </w:pPr>
            <w:r>
              <w:rPr>
                <w:rFonts w:hint="eastAsia" w:eastAsia="宋体"/>
                <w:color w:val="000000"/>
                <w:lang w:val="en-US" w:eastAsia="zh-CN"/>
              </w:rPr>
              <w:t>无</w:t>
            </w:r>
          </w:p>
        </w:tc>
      </w:tr>
    </w:tbl>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keepNext w:val="0"/>
        <w:keepLines w:val="0"/>
        <w:pageBreakBefore w:val="0"/>
        <w:kinsoku/>
        <w:wordWrap/>
        <w:overflowPunct/>
        <w:topLinePunct w:val="0"/>
        <w:autoSpaceDE/>
        <w:autoSpaceDN/>
        <w:bidi w:val="0"/>
        <w:adjustRightInd w:val="0"/>
        <w:snapToGrid w:val="0"/>
        <w:spacing w:line="560" w:lineRule="exact"/>
        <w:ind w:firstLine="64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第四部分  其他需要说明的情况</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jc w:val="both"/>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以万元为单位误差值在0.01-0.02万元。</w:t>
      </w:r>
    </w:p>
    <w:p>
      <w:pPr>
        <w:keepNext w:val="0"/>
        <w:keepLines w:val="0"/>
        <w:pageBreakBefore w:val="0"/>
        <w:widowControl w:val="0"/>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eastAsia" w:ascii="仿宋_GB2312" w:hAnsi="仿宋_GB2312" w:eastAsia="仿宋_GB2312" w:cs="仿宋_GB2312"/>
          <w:bCs/>
          <w:color w:val="000000"/>
          <w:kern w:val="0"/>
          <w:sz w:val="32"/>
          <w:szCs w:val="32"/>
          <w:lang w:eastAsia="zh-CN"/>
        </w:rPr>
      </w:pPr>
      <w:r>
        <w:rPr>
          <w:rFonts w:hint="eastAsia" w:ascii="黑体" w:hAnsi="黑体" w:eastAsia="黑体" w:cs="黑体"/>
          <w:color w:val="000000"/>
          <w:kern w:val="0"/>
          <w:sz w:val="32"/>
          <w:szCs w:val="32"/>
        </w:rPr>
        <w:t>第</w:t>
      </w:r>
      <w:r>
        <w:rPr>
          <w:rFonts w:hint="eastAsia" w:ascii="黑体" w:hAnsi="黑体" w:eastAsia="黑体" w:cs="黑体"/>
          <w:color w:val="000000"/>
          <w:kern w:val="0"/>
          <w:sz w:val="32"/>
          <w:szCs w:val="32"/>
          <w:lang w:eastAsia="zh-CN"/>
        </w:rPr>
        <w:t>五</w:t>
      </w:r>
      <w:r>
        <w:rPr>
          <w:rFonts w:hint="eastAsia" w:ascii="黑体" w:hAnsi="黑体" w:eastAsia="黑体" w:cs="黑体"/>
          <w:color w:val="000000"/>
          <w:kern w:val="0"/>
          <w:sz w:val="32"/>
          <w:szCs w:val="32"/>
        </w:rPr>
        <w:t>部分  名词解释</w:t>
      </w:r>
    </w:p>
    <w:p>
      <w:pPr>
        <w:keepNext w:val="0"/>
        <w:keepLines w:val="0"/>
        <w:pageBreakBefore w:val="0"/>
        <w:kinsoku/>
        <w:wordWrap/>
        <w:overflowPunct/>
        <w:topLinePunct w:val="0"/>
        <w:autoSpaceDE/>
        <w:autoSpaceDN/>
        <w:bidi w:val="0"/>
        <w:adjustRightInd w:val="0"/>
        <w:snapToGrid w:val="0"/>
        <w:spacing w:line="560" w:lineRule="exact"/>
        <w:ind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（一）财政拨款（补助）收入：指省级财政预算安排且当年拨付的资金。</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（二）一般公共服务支出（201类）：反映政府提供一般公共服务的支出。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（三）政府办公厅（室）及相关机构事务（20103款）：反映各级政府办公厅（室）及相关机构的支出。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（四）行政运行（2010301项）：反映行政单位（包括实行公务员管理的事业单位）的基本支出。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（五）专项业务活动（2010305项）：反映各级政府举行各类重大活动、召开重要会议（如国务院一类会议、国庆招待会、全国劳模大会）的支出，政府机关房地产管理、公务用车管理等方面的支出。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（六）社会保障和就业支出（208类）：反映政府在社会保障与就业方面的支出。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（七）行政事业单位离退休（20805款）：反映用于行政事业单位离退休方面的支出。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（八）归口管理的行政单位离退休（2080501项）：反映实行归口管理的行政单位（包括实行公务员管理的事业单位）开支的离退休经费。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（九）医疗卫生与计划生育支出（210类）：反映政府医疗卫生与计划生育管理方面的支出。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（十）医疗保障（21005款）：反映用于医疗保障方面的支出。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（十一）行政单位医疗（2100501项）：反映财政部门集中安排的行政单位基本医疗保险缴费经费，未参加医疗保险的行政单位的公费医疗经费，按国家规定享受离休人员、红军老战士待遇人员的医疗经费。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（十二）基本支出：指为保障机构正常运转、完成日常工作任务而发生的人员支出和公用支出。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（十三）项目支出：指在基本支出之外为完成特定行政任务和事业发展目标所发生的支出。</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（十四）“三公”经费：按照有关规定，“三公”经费包括因公出国（境）费、公务接待费、公务用车购置及运行费。</w:t>
      </w:r>
    </w:p>
    <w:p>
      <w:pPr>
        <w:keepNext w:val="0"/>
        <w:keepLines w:val="0"/>
        <w:pageBreakBefore w:val="0"/>
        <w:kinsoku/>
        <w:wordWrap/>
        <w:overflowPunct/>
        <w:topLinePunct w:val="0"/>
        <w:autoSpaceDE/>
        <w:autoSpaceDN/>
        <w:bidi w:val="0"/>
        <w:adjustRightInd w:val="0"/>
        <w:snapToGrid w:val="0"/>
        <w:spacing w:line="560" w:lineRule="exact"/>
        <w:ind w:left="0" w:leftChars="0" w:right="0" w:rightChars="0" w:firstLine="640" w:firstLineChars="200"/>
        <w:textAlignment w:val="auto"/>
        <w:outlineLvl w:val="9"/>
        <w:rPr>
          <w:rFonts w:hint="eastAsia" w:ascii="仿宋_GB2312" w:hAnsi="仿宋_GB2312" w:eastAsia="仿宋_GB2312" w:cs="仿宋_GB2312"/>
          <w:bCs/>
          <w:color w:val="000000"/>
          <w:kern w:val="0"/>
          <w:sz w:val="32"/>
          <w:szCs w:val="32"/>
          <w:lang w:eastAsia="zh-CN"/>
        </w:rPr>
      </w:pPr>
      <w:r>
        <w:rPr>
          <w:rFonts w:hint="eastAsia" w:ascii="仿宋_GB2312" w:hAnsi="仿宋_GB2312" w:eastAsia="仿宋_GB2312" w:cs="仿宋_GB2312"/>
          <w:bCs/>
          <w:color w:val="000000"/>
          <w:kern w:val="0"/>
          <w:sz w:val="32"/>
          <w:szCs w:val="32"/>
          <w:lang w:eastAsia="zh-CN"/>
        </w:rPr>
        <w:t>（十五）公务用车：指单位用于履行公务的车辆，包括领导干部专车、一般公务用车和执法执勤用车。</w:t>
      </w:r>
    </w:p>
    <w:p>
      <w:pPr>
        <w:pStyle w:val="7"/>
        <w:rPr>
          <w:rFonts w:hint="eastAsia" w:ascii="仿宋_GB2312" w:hAnsi="仿宋_GB2312" w:eastAsia="仿宋_GB2312" w:cs="仿宋_GB2312"/>
          <w:bCs/>
          <w:color w:val="000000"/>
          <w:kern w:val="0"/>
          <w:sz w:val="32"/>
          <w:szCs w:val="32"/>
          <w:lang w:val="en-US" w:eastAsia="zh-CN"/>
        </w:rPr>
      </w:pPr>
      <w:r>
        <w:rPr>
          <w:rFonts w:hint="eastAsia" w:ascii="仿宋_GB2312" w:hAnsi="仿宋_GB2312" w:eastAsia="仿宋_GB2312" w:cs="仿宋_GB2312"/>
          <w:bCs/>
          <w:color w:val="000000"/>
          <w:kern w:val="0"/>
          <w:sz w:val="32"/>
          <w:szCs w:val="32"/>
          <w:lang w:eastAsia="zh-CN"/>
        </w:rPr>
        <w:t>（十六）其他行业名词解释。</w:t>
      </w: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eastAsia" w:ascii="仿宋_GB2312" w:hAnsi="仿宋_GB2312" w:eastAsia="仿宋_GB2312" w:cs="仿宋_GB2312"/>
          <w:bCs/>
          <w:color w:val="000000"/>
          <w:kern w:val="0"/>
          <w:sz w:val="32"/>
          <w:szCs w:val="32"/>
          <w:lang w:val="en-US" w:eastAsia="zh-CN"/>
        </w:rPr>
      </w:pPr>
    </w:p>
    <w:p>
      <w:pPr>
        <w:pStyle w:val="7"/>
        <w:rPr>
          <w:rFonts w:hint="default"/>
          <w:lang w:val="en-US" w:eastAsia="zh-CN"/>
        </w:rPr>
      </w:pPr>
    </w:p>
    <w:p>
      <w:pPr>
        <w:pStyle w:val="7"/>
        <w:numPr>
          <w:ilvl w:val="0"/>
          <w:numId w:val="0"/>
        </w:numPr>
        <w:ind w:firstLine="640" w:firstLineChars="200"/>
        <w:rPr>
          <w:rFonts w:hint="default" w:ascii="仿宋_GB2312" w:hAnsi="仿宋_GB2312" w:eastAsia="仿宋_GB2312" w:cs="仿宋_GB2312"/>
          <w:b w:val="0"/>
          <w:bCs w:val="0"/>
          <w:sz w:val="32"/>
          <w:szCs w:val="32"/>
          <w:lang w:val="en-US" w:eastAsia="zh-CN"/>
        </w:rPr>
      </w:pPr>
    </w:p>
    <w:p>
      <w:pPr>
        <w:pStyle w:val="7"/>
        <w:ind w:firstLine="640" w:firstLineChars="200"/>
        <w:rPr>
          <w:rFonts w:hint="eastAsia" w:ascii="仿宋_GB2312" w:eastAsia="仿宋_GB2312"/>
          <w:color w:val="0000FF"/>
          <w:sz w:val="32"/>
          <w:szCs w:val="32"/>
          <w:lang w:val="en-US" w:eastAsia="zh-CN"/>
        </w:rPr>
      </w:pPr>
    </w:p>
    <w:p>
      <w:pPr>
        <w:pStyle w:val="7"/>
        <w:rPr>
          <w:rFonts w:hint="eastAsia"/>
        </w:rPr>
      </w:pPr>
    </w:p>
    <w:p>
      <w:pPr>
        <w:pStyle w:val="7"/>
        <w:ind w:firstLine="640" w:firstLineChars="200"/>
        <w:rPr>
          <w:rFonts w:hint="eastAsia" w:ascii="仿宋_GB2312" w:hAnsi="仿宋_GB2312" w:eastAsia="仿宋_GB2312" w:cs="仿宋_GB2312"/>
          <w:sz w:val="32"/>
          <w:szCs w:val="32"/>
          <w:u w:val="none"/>
          <w:lang w:val="en-US" w:eastAsia="zh-CN"/>
        </w:rPr>
      </w:pPr>
    </w:p>
    <w:p>
      <w:pPr>
        <w:pStyle w:val="7"/>
        <w:ind w:firstLine="640" w:firstLineChars="200"/>
        <w:rPr>
          <w:rFonts w:hint="eastAsia" w:ascii="仿宋_GB2312" w:hAnsi="仿宋_GB2312" w:eastAsia="仿宋_GB2312" w:cs="仿宋_GB2312"/>
          <w:sz w:val="32"/>
          <w:szCs w:val="32"/>
          <w:lang w:val="en-US" w:eastAsia="zh-CN"/>
        </w:rPr>
      </w:pPr>
    </w:p>
    <w:p>
      <w:pPr>
        <w:pStyle w:val="7"/>
        <w:rPr>
          <w:rFonts w:hint="eastAsia"/>
          <w:lang w:val="en-US" w:eastAsia="zh-CN"/>
        </w:rPr>
      </w:pPr>
    </w:p>
    <w:p>
      <w:pPr>
        <w:pStyle w:val="7"/>
        <w:numPr>
          <w:ilvl w:val="0"/>
          <w:numId w:val="0"/>
        </w:numPr>
        <w:ind w:leftChars="200"/>
        <w:rPr>
          <w:rFonts w:hint="default" w:ascii="黑体" w:hAnsi="黑体" w:eastAsia="黑体" w:cs="黑体"/>
          <w:sz w:val="32"/>
          <w:szCs w:val="32"/>
          <w:lang w:val="en-US" w:eastAsia="zh-CN"/>
        </w:rPr>
      </w:pPr>
    </w:p>
    <w:p>
      <w:pPr>
        <w:pStyle w:val="7"/>
        <w:numPr>
          <w:ilvl w:val="0"/>
          <w:numId w:val="0"/>
        </w:numPr>
        <w:ind w:leftChars="200"/>
        <w:rPr>
          <w:rFonts w:hint="eastAsia" w:ascii="黑体" w:hAnsi="黑体" w:eastAsia="黑体" w:cs="黑体"/>
          <w:sz w:val="32"/>
          <w:szCs w:val="32"/>
          <w:lang w:val="en-US" w:eastAsia="zh-CN"/>
        </w:rPr>
      </w:pPr>
    </w:p>
    <w:p>
      <w:pPr>
        <w:pStyle w:val="7"/>
        <w:keepNext w:val="0"/>
        <w:keepLines w:val="0"/>
        <w:pageBreakBefore w:val="0"/>
        <w:widowControl w:val="0"/>
        <w:numPr>
          <w:ilvl w:val="0"/>
          <w:numId w:val="0"/>
        </w:numPr>
        <w:kinsoku/>
        <w:wordWrap/>
        <w:overflowPunct/>
        <w:topLinePunct w:val="0"/>
        <w:autoSpaceDE/>
        <w:autoSpaceDN/>
        <w:bidi w:val="0"/>
        <w:spacing w:line="570" w:lineRule="exact"/>
        <w:ind w:firstLine="640" w:firstLineChars="200"/>
        <w:textAlignment w:val="auto"/>
        <w:rPr>
          <w:rFonts w:hint="eastAsia" w:ascii="仿宋_GB2312" w:hAnsi="仿宋_GB2312" w:eastAsia="仿宋_GB2312" w:cs="仿宋_GB2312"/>
          <w:bCs/>
          <w:kern w:val="44"/>
          <w:sz w:val="32"/>
          <w:szCs w:val="32"/>
          <w:highlight w:val="none"/>
          <w:lang w:val="en-US" w:eastAsia="zh-CN"/>
        </w:rPr>
      </w:pPr>
    </w:p>
    <w:p>
      <w:pPr>
        <w:pStyle w:val="7"/>
        <w:keepNext w:val="0"/>
        <w:keepLines w:val="0"/>
        <w:pageBreakBefore w:val="0"/>
        <w:widowControl w:val="0"/>
        <w:kinsoku/>
        <w:wordWrap/>
        <w:overflowPunct/>
        <w:topLinePunct w:val="0"/>
        <w:autoSpaceDE/>
        <w:autoSpaceDN/>
        <w:bidi w:val="0"/>
        <w:spacing w:line="570" w:lineRule="exact"/>
        <w:textAlignment w:val="auto"/>
        <w:rPr>
          <w:rFonts w:hint="default" w:ascii="仿宋_GB2312" w:eastAsia="仿宋_GB2312"/>
          <w:bCs/>
          <w:kern w:val="44"/>
          <w:sz w:val="32"/>
          <w:szCs w:val="32"/>
          <w:highlight w:val="none"/>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roma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82A73"/>
    <w:multiLevelType w:val="singleLevel"/>
    <w:tmpl w:val="8BB82A73"/>
    <w:lvl w:ilvl="0" w:tentative="0">
      <w:start w:val="2"/>
      <w:numFmt w:val="chineseCounting"/>
      <w:suff w:val="space"/>
      <w:lvlText w:val="第%1部分"/>
      <w:lvlJc w:val="left"/>
      <w:rPr>
        <w:rFonts w:hint="eastAsia"/>
      </w:rPr>
    </w:lvl>
  </w:abstractNum>
  <w:abstractNum w:abstractNumId="1">
    <w:nsid w:val="5DAF5A82"/>
    <w:multiLevelType w:val="singleLevel"/>
    <w:tmpl w:val="5DAF5A82"/>
    <w:lvl w:ilvl="0" w:tentative="0">
      <w:start w:val="11"/>
      <w:numFmt w:val="chineseCounting"/>
      <w:suff w:val="nothing"/>
      <w:lvlText w:val="%1、"/>
      <w:lvlJc w:val="left"/>
      <w:pPr>
        <w:ind w:left="310"/>
      </w:pPr>
      <w:rPr>
        <w:rFonts w:hint="eastAsia"/>
      </w:rPr>
    </w:lvl>
  </w:abstractNum>
  <w:abstractNum w:abstractNumId="2">
    <w:nsid w:val="7C0F5548"/>
    <w:multiLevelType w:val="singleLevel"/>
    <w:tmpl w:val="7C0F5548"/>
    <w:lvl w:ilvl="0" w:tentative="0">
      <w:start w:val="5"/>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xNTQwN2I2M2FkOTM2NjI1ZmY1ZmIxYjE5ODBiYmYifQ=="/>
  </w:docVars>
  <w:rsids>
    <w:rsidRoot w:val="00000000"/>
    <w:rsid w:val="06624721"/>
    <w:rsid w:val="10FF01FE"/>
    <w:rsid w:val="152D239E"/>
    <w:rsid w:val="1A393593"/>
    <w:rsid w:val="1EE7180F"/>
    <w:rsid w:val="27D843EB"/>
    <w:rsid w:val="3CEA279F"/>
    <w:rsid w:val="48694305"/>
    <w:rsid w:val="49DF11B1"/>
    <w:rsid w:val="567D5FDA"/>
    <w:rsid w:val="5AE8280C"/>
    <w:rsid w:val="5CF85041"/>
    <w:rsid w:val="66C13CC1"/>
    <w:rsid w:val="6B9B2D32"/>
    <w:rsid w:val="74604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32"/>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customStyle="1" w:styleId="7">
    <w:name w:val="纯文本1"/>
    <w:basedOn w:val="1"/>
    <w:qFormat/>
    <w:uiPriority w:val="99"/>
    <w:rPr>
      <w:rFonts w:ascii="宋体" w:hAnsi="Courier New" w:cs="Courier New"/>
    </w:rPr>
  </w:style>
  <w:style w:type="table" w:customStyle="1" w:styleId="8">
    <w:name w:val="Table Normal"/>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6347</Words>
  <Characters>7063</Characters>
  <Lines>0</Lines>
  <Paragraphs>0</Paragraphs>
  <TotalTime>1353</TotalTime>
  <ScaleCrop>false</ScaleCrop>
  <LinksUpToDate>false</LinksUpToDate>
  <CharactersWithSpaces>7187</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2026-09-15T00:55:00Z</dcterms:created>
  <dc:creator>lenovo</dc:creator>
  <cp:lastModifiedBy>王源</cp:lastModifiedBy>
  <dcterms:modified xsi:type="dcterms:W3CDTF">2026-09-21T09:17:00Z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ICV">
    <vt:lpwstr>3BC56129A72E4C27A0BA637DE0BEEF06</vt:lpwstr>
  </property>
</Properties>
</file>